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F3FEB" w14:textId="77777777" w:rsidR="004D6FDE" w:rsidRDefault="00150056" w:rsidP="00C53F84">
      <w:pPr>
        <w:pStyle w:val="Title"/>
        <w:rPr>
          <w:rStyle w:val="DocTitle"/>
        </w:rPr>
      </w:pPr>
      <w:bookmarkStart w:id="0" w:name="_GoBack"/>
      <w:r w:rsidRPr="00C53F84">
        <w:rPr>
          <w:rStyle w:val="DocTitle"/>
        </w:rPr>
        <w:t xml:space="preserve">Public Service Commission Customer </w:t>
      </w:r>
      <w:r w:rsidR="00C53F84" w:rsidRPr="00C53F84">
        <w:rPr>
          <w:rStyle w:val="DocTitle"/>
        </w:rPr>
        <w:t>C</w:t>
      </w:r>
      <w:r w:rsidRPr="00C53F84">
        <w:rPr>
          <w:rStyle w:val="DocTitle"/>
        </w:rPr>
        <w:t>omplaints</w:t>
      </w:r>
      <w:r w:rsidR="00C53F84" w:rsidRPr="00C53F84">
        <w:rPr>
          <w:rStyle w:val="DocTitle"/>
        </w:rPr>
        <w:t xml:space="preserve"> </w:t>
      </w:r>
    </w:p>
    <w:p w14:paraId="0745CAF8" w14:textId="7475A607" w:rsidR="000C36B3" w:rsidRPr="00C53F84" w:rsidRDefault="00C53F84" w:rsidP="00C53F84">
      <w:pPr>
        <w:pStyle w:val="Title"/>
      </w:pPr>
      <w:r w:rsidRPr="00C53F84">
        <w:rPr>
          <w:rStyle w:val="DocTitle"/>
        </w:rPr>
        <w:t>Management Procedure</w:t>
      </w:r>
    </w:p>
    <w:bookmarkEnd w:id="0"/>
    <w:p w14:paraId="53D0A329" w14:textId="77777777" w:rsidR="000C36B3" w:rsidRDefault="000C36B3" w:rsidP="000C36B3">
      <w:pPr>
        <w:pStyle w:val="Heading2"/>
        <w:numPr>
          <w:ilvl w:val="0"/>
          <w:numId w:val="6"/>
        </w:numPr>
        <w:ind w:left="426" w:hanging="426"/>
      </w:pPr>
      <w:r>
        <w:t>Purpose</w:t>
      </w:r>
    </w:p>
    <w:p w14:paraId="50900BD8" w14:textId="77777777" w:rsidR="004B6E56" w:rsidRPr="004B6E56" w:rsidRDefault="004B6E56" w:rsidP="004B6E56">
      <w:r w:rsidRPr="004B6E56">
        <w:t>This procedure sets out how the Public Service Commission (PSC) manages customer complaints and should be read in conjunction with the PSC’s Customer Complaints Management Policy which provides a definition of a customer complaint and the guiding principles for handling customer complaints.</w:t>
      </w:r>
    </w:p>
    <w:p w14:paraId="727EC9C7" w14:textId="77777777" w:rsidR="004B6E56" w:rsidRDefault="004B6E56" w:rsidP="004B6E56">
      <w:r w:rsidRPr="004B6E56">
        <w:t xml:space="preserve">Customer complaints are managed in accordance with s.219A of the </w:t>
      </w:r>
      <w:r w:rsidRPr="00BE0EB4">
        <w:rPr>
          <w:i/>
        </w:rPr>
        <w:t>Public Service Act 2008</w:t>
      </w:r>
      <w:r w:rsidRPr="004B6E56">
        <w:t xml:space="preserve"> and are underpinned by the complaint management principles outlined in the Australian Standards ISO 10002- 2014 </w:t>
      </w:r>
      <w:r w:rsidRPr="00BE0EB4">
        <w:rPr>
          <w:i/>
        </w:rPr>
        <w:t>Guidelines for complaint management in organizations</w:t>
      </w:r>
      <w:r w:rsidRPr="004B6E56">
        <w:t>.</w:t>
      </w:r>
    </w:p>
    <w:p w14:paraId="545D3261" w14:textId="05980E57" w:rsidR="000C36B3" w:rsidRDefault="00274D0E" w:rsidP="000C36B3">
      <w:pPr>
        <w:pStyle w:val="Heading2"/>
        <w:numPr>
          <w:ilvl w:val="0"/>
          <w:numId w:val="6"/>
        </w:numPr>
        <w:ind w:left="426" w:hanging="426"/>
      </w:pPr>
      <w:r>
        <w:t>Making a customer complaint</w:t>
      </w:r>
    </w:p>
    <w:p w14:paraId="78A306B6" w14:textId="77777777" w:rsidR="00274D0E" w:rsidRPr="00274D0E" w:rsidRDefault="00274D0E" w:rsidP="00E65CB8">
      <w:pPr>
        <w:pStyle w:val="BodyText"/>
        <w:spacing w:before="240"/>
        <w:ind w:left="90" w:right="9"/>
        <w:rPr>
          <w:sz w:val="20"/>
          <w:szCs w:val="20"/>
        </w:rPr>
      </w:pPr>
      <w:r w:rsidRPr="00274D0E">
        <w:rPr>
          <w:sz w:val="20"/>
          <w:szCs w:val="20"/>
        </w:rPr>
        <w:t>Complaints can be made verbally (in person or phone), or in writing (email or post) by the complainant (or other authorised person) who is directly affected by the service or action of the PSC and/or our staff.</w:t>
      </w:r>
    </w:p>
    <w:p w14:paraId="022A2CEB" w14:textId="01510A67" w:rsidR="00274D0E" w:rsidRPr="00274D0E" w:rsidRDefault="00274D0E" w:rsidP="00E65CB8">
      <w:pPr>
        <w:pStyle w:val="BodyText"/>
        <w:ind w:left="90" w:right="9"/>
        <w:rPr>
          <w:sz w:val="20"/>
          <w:szCs w:val="20"/>
        </w:rPr>
      </w:pPr>
      <w:r w:rsidRPr="00274D0E">
        <w:rPr>
          <w:sz w:val="20"/>
          <w:szCs w:val="20"/>
        </w:rPr>
        <w:t xml:space="preserve">An </w:t>
      </w:r>
      <w:hyperlink r:id="rId11" w:anchor="complaints">
        <w:r w:rsidRPr="00EA5D99">
          <w:rPr>
            <w:color w:val="28695B" w:themeColor="accent1" w:themeShade="80"/>
            <w:sz w:val="20"/>
            <w:szCs w:val="20"/>
            <w:u w:val="single" w:color="28695B" w:themeColor="accent1" w:themeShade="80"/>
          </w:rPr>
          <w:t xml:space="preserve">online </w:t>
        </w:r>
        <w:r w:rsidR="004D6FDE" w:rsidRPr="00EA5D99">
          <w:rPr>
            <w:color w:val="28695B" w:themeColor="accent1" w:themeShade="80"/>
            <w:sz w:val="20"/>
            <w:szCs w:val="20"/>
            <w:u w:val="single" w:color="28695B" w:themeColor="accent1" w:themeShade="80"/>
          </w:rPr>
          <w:t>c</w:t>
        </w:r>
        <w:r w:rsidRPr="00EA5D99">
          <w:rPr>
            <w:color w:val="28695B" w:themeColor="accent1" w:themeShade="80"/>
            <w:sz w:val="20"/>
            <w:szCs w:val="20"/>
            <w:u w:val="single" w:color="28695B" w:themeColor="accent1" w:themeShade="80"/>
          </w:rPr>
          <w:t xml:space="preserve">omplaints </w:t>
        </w:r>
        <w:r w:rsidR="004D6FDE" w:rsidRPr="00EA5D99">
          <w:rPr>
            <w:color w:val="28695B" w:themeColor="accent1" w:themeShade="80"/>
            <w:sz w:val="20"/>
            <w:szCs w:val="20"/>
            <w:u w:val="single" w:color="28695B" w:themeColor="accent1" w:themeShade="80"/>
          </w:rPr>
          <w:t>f</w:t>
        </w:r>
        <w:r w:rsidRPr="00EA5D99">
          <w:rPr>
            <w:color w:val="28695B" w:themeColor="accent1" w:themeShade="80"/>
            <w:sz w:val="20"/>
            <w:szCs w:val="20"/>
            <w:u w:val="single" w:color="28695B" w:themeColor="accent1" w:themeShade="80"/>
          </w:rPr>
          <w:t>orm</w:t>
        </w:r>
        <w:r w:rsidRPr="00EA5D99">
          <w:rPr>
            <w:color w:val="28695B" w:themeColor="accent1" w:themeShade="80"/>
            <w:sz w:val="20"/>
            <w:szCs w:val="20"/>
            <w:u w:color="28695B" w:themeColor="accent1" w:themeShade="80"/>
          </w:rPr>
          <w:t xml:space="preserve"> </w:t>
        </w:r>
      </w:hyperlink>
      <w:r w:rsidRPr="00274D0E">
        <w:rPr>
          <w:sz w:val="20"/>
          <w:szCs w:val="20"/>
        </w:rPr>
        <w:t>is available if you wish to use this as a guide. Further information is available on the</w:t>
      </w:r>
      <w:r w:rsidRPr="00EA5D99">
        <w:rPr>
          <w:color w:val="28695B" w:themeColor="accent1" w:themeShade="80"/>
          <w:sz w:val="20"/>
          <w:szCs w:val="20"/>
          <w:u w:color="28695B" w:themeColor="accent1" w:themeShade="80"/>
        </w:rPr>
        <w:t xml:space="preserve"> </w:t>
      </w:r>
      <w:hyperlink r:id="rId12">
        <w:r w:rsidRPr="00EA5D99">
          <w:rPr>
            <w:color w:val="28695B" w:themeColor="accent1" w:themeShade="80"/>
            <w:sz w:val="20"/>
            <w:szCs w:val="20"/>
            <w:u w:val="single" w:color="28695B" w:themeColor="accent1" w:themeShade="80"/>
          </w:rPr>
          <w:t xml:space="preserve">PSC </w:t>
        </w:r>
        <w:r w:rsidR="004D6FDE" w:rsidRPr="00EA5D99">
          <w:rPr>
            <w:color w:val="28695B" w:themeColor="accent1" w:themeShade="80"/>
            <w:sz w:val="20"/>
            <w:szCs w:val="20"/>
            <w:u w:val="single" w:color="28695B" w:themeColor="accent1" w:themeShade="80"/>
          </w:rPr>
          <w:t>w</w:t>
        </w:r>
        <w:r w:rsidRPr="00EA5D99">
          <w:rPr>
            <w:color w:val="28695B" w:themeColor="accent1" w:themeShade="80"/>
            <w:sz w:val="20"/>
            <w:szCs w:val="20"/>
            <w:u w:val="single" w:color="28695B" w:themeColor="accent1" w:themeShade="80"/>
          </w:rPr>
          <w:t>ebsite</w:t>
        </w:r>
      </w:hyperlink>
      <w:r w:rsidRPr="00274D0E">
        <w:rPr>
          <w:sz w:val="20"/>
          <w:szCs w:val="20"/>
        </w:rPr>
        <w:t>.</w:t>
      </w:r>
    </w:p>
    <w:p w14:paraId="4032184B" w14:textId="77777777" w:rsidR="00274D0E" w:rsidRPr="00274D0E" w:rsidRDefault="00274D0E" w:rsidP="00E65CB8">
      <w:pPr>
        <w:pStyle w:val="BodyText"/>
        <w:ind w:left="90" w:right="9"/>
        <w:rPr>
          <w:sz w:val="20"/>
          <w:szCs w:val="20"/>
        </w:rPr>
      </w:pPr>
      <w:r w:rsidRPr="00274D0E">
        <w:rPr>
          <w:sz w:val="20"/>
          <w:szCs w:val="20"/>
        </w:rPr>
        <w:t xml:space="preserve">Complainants are encouraged to provide </w:t>
      </w:r>
      <w:proofErr w:type="gramStart"/>
      <w:r w:rsidRPr="00274D0E">
        <w:rPr>
          <w:sz w:val="20"/>
          <w:szCs w:val="20"/>
        </w:rPr>
        <w:t>sufficient</w:t>
      </w:r>
      <w:proofErr w:type="gramEnd"/>
      <w:r w:rsidRPr="00274D0E">
        <w:rPr>
          <w:sz w:val="20"/>
          <w:szCs w:val="20"/>
        </w:rPr>
        <w:t xml:space="preserve"> and relevant particulars and outline what they would like the PSC to do to resolve the matter.</w:t>
      </w:r>
    </w:p>
    <w:p w14:paraId="40E97861" w14:textId="77777777" w:rsidR="00BF3956" w:rsidRDefault="00274D0E" w:rsidP="00E65CB8">
      <w:pPr>
        <w:pStyle w:val="BodyText"/>
        <w:ind w:left="90" w:right="9"/>
        <w:rPr>
          <w:sz w:val="20"/>
          <w:szCs w:val="20"/>
        </w:rPr>
      </w:pPr>
      <w:r w:rsidRPr="00274D0E">
        <w:rPr>
          <w:sz w:val="20"/>
          <w:szCs w:val="20"/>
        </w:rPr>
        <w:t xml:space="preserve">The complaint is to be made within twelve months from the time from which the grounds of the complaint arose. </w:t>
      </w:r>
    </w:p>
    <w:p w14:paraId="2CF7E90E" w14:textId="2BA8FF6A" w:rsidR="00B8729F" w:rsidRPr="00587EA1" w:rsidRDefault="00274D0E" w:rsidP="00B8729F">
      <w:pPr>
        <w:pStyle w:val="BodyText"/>
        <w:ind w:left="90" w:right="9"/>
        <w:rPr>
          <w:sz w:val="20"/>
          <w:szCs w:val="20"/>
        </w:rPr>
      </w:pPr>
      <w:r w:rsidRPr="00274D0E">
        <w:rPr>
          <w:sz w:val="20"/>
          <w:szCs w:val="20"/>
        </w:rPr>
        <w:t>If a complaint is submitted outside the twelve</w:t>
      </w:r>
      <w:r w:rsidR="004D6FDE">
        <w:rPr>
          <w:sz w:val="20"/>
          <w:szCs w:val="20"/>
        </w:rPr>
        <w:t>-</w:t>
      </w:r>
      <w:r w:rsidRPr="00274D0E">
        <w:rPr>
          <w:sz w:val="20"/>
          <w:szCs w:val="20"/>
        </w:rPr>
        <w:t xml:space="preserve">month timeframe, exceptional circumstances </w:t>
      </w:r>
      <w:proofErr w:type="spellStart"/>
      <w:r w:rsidRPr="00274D0E">
        <w:rPr>
          <w:sz w:val="20"/>
          <w:szCs w:val="20"/>
        </w:rPr>
        <w:t>willneed</w:t>
      </w:r>
      <w:proofErr w:type="spellEnd"/>
      <w:r w:rsidRPr="00274D0E">
        <w:rPr>
          <w:sz w:val="20"/>
          <w:szCs w:val="20"/>
        </w:rPr>
        <w:t xml:space="preserve"> to be provided explaining why the complaint is lodged outside this timeframe. Exceptional circumstances include situations which are out of the ordinary, unusual, special or uncommon (e.g. ill-health and /or personal issues impacting on the </w:t>
      </w:r>
      <w:r w:rsidRPr="00587EA1">
        <w:rPr>
          <w:sz w:val="20"/>
          <w:szCs w:val="20"/>
        </w:rPr>
        <w:t>complainant’s ability to address the concerns).</w:t>
      </w:r>
      <w:r w:rsidR="00B8729F" w:rsidRPr="00587EA1">
        <w:rPr>
          <w:sz w:val="20"/>
          <w:szCs w:val="20"/>
        </w:rPr>
        <w:t xml:space="preserve"> The assessment of the complaint will </w:t>
      </w:r>
      <w:proofErr w:type="gramStart"/>
      <w:r w:rsidR="00B8729F" w:rsidRPr="00587EA1">
        <w:rPr>
          <w:sz w:val="20"/>
          <w:szCs w:val="20"/>
        </w:rPr>
        <w:t>take into account</w:t>
      </w:r>
      <w:proofErr w:type="gramEnd"/>
      <w:r w:rsidR="00B8729F" w:rsidRPr="00587EA1">
        <w:rPr>
          <w:sz w:val="20"/>
          <w:szCs w:val="20"/>
        </w:rPr>
        <w:t xml:space="preserve"> any exceptional circumstances and the seriousness and complexity of the complaint.</w:t>
      </w:r>
    </w:p>
    <w:p w14:paraId="4A5EC730" w14:textId="0F411BB4" w:rsidR="00BF3956" w:rsidRPr="00587EA1" w:rsidRDefault="00274D0E" w:rsidP="005671FF">
      <w:pPr>
        <w:pStyle w:val="BodyText"/>
        <w:ind w:left="90" w:right="9"/>
        <w:rPr>
          <w:sz w:val="20"/>
          <w:szCs w:val="20"/>
        </w:rPr>
      </w:pPr>
      <w:bookmarkStart w:id="1" w:name="_Hlk29216905"/>
      <w:r w:rsidRPr="00587EA1">
        <w:rPr>
          <w:sz w:val="20"/>
          <w:szCs w:val="20"/>
        </w:rPr>
        <w:t>In accordance with the</w:t>
      </w:r>
      <w:r w:rsidRPr="00587EA1">
        <w:rPr>
          <w:i/>
          <w:sz w:val="20"/>
          <w:szCs w:val="20"/>
        </w:rPr>
        <w:t xml:space="preserve"> Human Rights Act 2019</w:t>
      </w:r>
      <w:r w:rsidRPr="00587EA1">
        <w:rPr>
          <w:sz w:val="20"/>
          <w:szCs w:val="20"/>
        </w:rPr>
        <w:t xml:space="preserve">, assessment of </w:t>
      </w:r>
      <w:r w:rsidR="00571DC0" w:rsidRPr="00587EA1">
        <w:rPr>
          <w:sz w:val="20"/>
          <w:szCs w:val="20"/>
        </w:rPr>
        <w:t xml:space="preserve">a </w:t>
      </w:r>
      <w:r w:rsidRPr="00587EA1">
        <w:rPr>
          <w:sz w:val="20"/>
          <w:szCs w:val="20"/>
        </w:rPr>
        <w:t xml:space="preserve">complaint about human rights will only be made for </w:t>
      </w:r>
      <w:r w:rsidR="00571DC0" w:rsidRPr="00587EA1">
        <w:rPr>
          <w:sz w:val="20"/>
          <w:szCs w:val="20"/>
        </w:rPr>
        <w:t xml:space="preserve">an act or </w:t>
      </w:r>
      <w:r w:rsidR="00600671" w:rsidRPr="00587EA1">
        <w:rPr>
          <w:sz w:val="20"/>
          <w:szCs w:val="20"/>
        </w:rPr>
        <w:t>decision</w:t>
      </w:r>
      <w:r w:rsidR="00B8729F" w:rsidRPr="00587EA1">
        <w:rPr>
          <w:sz w:val="20"/>
          <w:szCs w:val="20"/>
        </w:rPr>
        <w:t xml:space="preserve"> </w:t>
      </w:r>
      <w:r w:rsidRPr="00587EA1">
        <w:rPr>
          <w:sz w:val="20"/>
          <w:szCs w:val="20"/>
        </w:rPr>
        <w:t>that occur</w:t>
      </w:r>
      <w:r w:rsidR="00571DC0" w:rsidRPr="00587EA1">
        <w:rPr>
          <w:sz w:val="20"/>
          <w:szCs w:val="20"/>
        </w:rPr>
        <w:t>s</w:t>
      </w:r>
      <w:r w:rsidRPr="00587EA1">
        <w:rPr>
          <w:sz w:val="20"/>
          <w:szCs w:val="20"/>
        </w:rPr>
        <w:t xml:space="preserve"> after 1 January 2020.</w:t>
      </w:r>
    </w:p>
    <w:bookmarkEnd w:id="1"/>
    <w:p w14:paraId="45935216" w14:textId="77777777" w:rsidR="00274D0E" w:rsidRPr="00587EA1" w:rsidRDefault="00274D0E" w:rsidP="005671FF">
      <w:pPr>
        <w:pStyle w:val="BodyText"/>
        <w:ind w:left="90" w:right="9"/>
        <w:rPr>
          <w:sz w:val="20"/>
          <w:szCs w:val="20"/>
        </w:rPr>
      </w:pPr>
      <w:r w:rsidRPr="00587EA1">
        <w:rPr>
          <w:sz w:val="20"/>
          <w:szCs w:val="20"/>
        </w:rPr>
        <w:t>The PSC will meet the reasonable costs of services which assist people with hearing or vision impairments or who may require a translation and interpreting service.</w:t>
      </w:r>
    </w:p>
    <w:p w14:paraId="68DD031E" w14:textId="30BE11F5" w:rsidR="00274D0E" w:rsidRPr="00587EA1" w:rsidRDefault="00274D0E" w:rsidP="00B13176">
      <w:pPr>
        <w:pStyle w:val="Bullets1"/>
        <w:ind w:left="432" w:hanging="288"/>
        <w:contextualSpacing w:val="0"/>
      </w:pPr>
      <w:r w:rsidRPr="00587EA1">
        <w:t>The Queensland Government Translation and Interpreting Services are available for complainants who are unable to speak or write in English. They are available a</w:t>
      </w:r>
      <w:r w:rsidR="004D6FDE" w:rsidRPr="00587EA1">
        <w:t>t</w:t>
      </w:r>
      <w:hyperlink w:history="1">
        <w:r w:rsidR="004D6FDE" w:rsidRPr="00587EA1">
          <w:rPr>
            <w:rStyle w:val="Hyperlink"/>
          </w:rPr>
          <w:t xml:space="preserve"> www.qld.gov.au/languages </w:t>
        </w:r>
      </w:hyperlink>
      <w:r w:rsidRPr="00587EA1">
        <w:t>or by phoning (TIS National) on 131</w:t>
      </w:r>
      <w:r w:rsidRPr="00587EA1">
        <w:rPr>
          <w:spacing w:val="-6"/>
        </w:rPr>
        <w:t xml:space="preserve"> </w:t>
      </w:r>
      <w:r w:rsidRPr="00587EA1">
        <w:t>450.</w:t>
      </w:r>
    </w:p>
    <w:p w14:paraId="01CD792F" w14:textId="77777777" w:rsidR="00274D0E" w:rsidRPr="00587EA1" w:rsidRDefault="00274D0E" w:rsidP="00B13176">
      <w:pPr>
        <w:pStyle w:val="Bullets1"/>
        <w:ind w:left="426" w:hanging="284"/>
      </w:pPr>
      <w:r w:rsidRPr="00587EA1">
        <w:t>The National Relay Service is available for people with hearing or vision impairments (133 677 TTY/Voice or 1300 555 727 (Speak and</w:t>
      </w:r>
      <w:r w:rsidRPr="00587EA1">
        <w:rPr>
          <w:spacing w:val="-5"/>
        </w:rPr>
        <w:t xml:space="preserve"> </w:t>
      </w:r>
      <w:r w:rsidRPr="00587EA1">
        <w:t>Listen).</w:t>
      </w:r>
    </w:p>
    <w:p w14:paraId="2C949D16" w14:textId="77777777" w:rsidR="005C66C1" w:rsidRPr="005B2FF1" w:rsidRDefault="005C66C1" w:rsidP="005C66C1">
      <w:pPr>
        <w:pStyle w:val="Heading2"/>
        <w:numPr>
          <w:ilvl w:val="0"/>
          <w:numId w:val="6"/>
        </w:numPr>
        <w:ind w:left="426" w:hanging="426"/>
      </w:pPr>
      <w:r w:rsidRPr="005C66C1">
        <w:lastRenderedPageBreak/>
        <w:t>Receiving and managing customer complaints</w:t>
      </w:r>
    </w:p>
    <w:p w14:paraId="5C5B3114" w14:textId="77777777" w:rsidR="005C66C1" w:rsidRPr="00056535" w:rsidRDefault="005C66C1" w:rsidP="00056535">
      <w:pPr>
        <w:pStyle w:val="Numberedlist2"/>
        <w:ind w:left="900" w:hanging="450"/>
        <w:rPr>
          <w:color w:val="007A6D"/>
          <w:sz w:val="22"/>
          <w:szCs w:val="22"/>
        </w:rPr>
      </w:pPr>
      <w:r w:rsidRPr="00056535">
        <w:rPr>
          <w:color w:val="007A6D"/>
          <w:sz w:val="22"/>
          <w:szCs w:val="22"/>
        </w:rPr>
        <w:t>Receipt</w:t>
      </w:r>
    </w:p>
    <w:p w14:paraId="312AFBD5" w14:textId="0E7EDCD6" w:rsidR="005C66C1" w:rsidRPr="00EA5D99" w:rsidRDefault="005C66C1" w:rsidP="005C66C1">
      <w:pPr>
        <w:pStyle w:val="BodyText"/>
        <w:spacing w:before="73"/>
        <w:ind w:left="450" w:right="9"/>
        <w:rPr>
          <w:color w:val="28695B" w:themeColor="accent1" w:themeShade="80"/>
          <w:sz w:val="20"/>
          <w:szCs w:val="20"/>
          <w:u w:val="single" w:color="0000FF"/>
        </w:rPr>
      </w:pPr>
      <w:proofErr w:type="gramStart"/>
      <w:r w:rsidRPr="005C66C1">
        <w:rPr>
          <w:sz w:val="20"/>
          <w:szCs w:val="20"/>
        </w:rPr>
        <w:t>The majority of</w:t>
      </w:r>
      <w:proofErr w:type="gramEnd"/>
      <w:r w:rsidRPr="005C66C1">
        <w:rPr>
          <w:sz w:val="20"/>
          <w:szCs w:val="20"/>
        </w:rPr>
        <w:t xml:space="preserve"> complaints will be received directly by the PSC Complaints Coordinator as the delegated officer via the designated email account – </w:t>
      </w:r>
      <w:hyperlink r:id="rId13">
        <w:r w:rsidRPr="00EA5D99">
          <w:rPr>
            <w:color w:val="28695B" w:themeColor="accent1" w:themeShade="80"/>
            <w:sz w:val="20"/>
            <w:szCs w:val="20"/>
            <w:u w:val="single" w:color="28695B" w:themeColor="accent1" w:themeShade="80"/>
          </w:rPr>
          <w:t>Commission.psc@psc.qld.gov.au</w:t>
        </w:r>
      </w:hyperlink>
    </w:p>
    <w:p w14:paraId="590BF3D8" w14:textId="77777777" w:rsidR="005C66C1" w:rsidRPr="005C66C1" w:rsidRDefault="005C66C1" w:rsidP="005C66C1">
      <w:pPr>
        <w:pStyle w:val="BodyText"/>
        <w:spacing w:before="73"/>
        <w:ind w:left="450" w:right="9"/>
        <w:rPr>
          <w:rFonts w:eastAsiaTheme="minorEastAsia" w:cstheme="minorBidi"/>
          <w:sz w:val="20"/>
          <w:szCs w:val="20"/>
          <w:lang w:eastAsia="en-US"/>
        </w:rPr>
      </w:pPr>
      <w:r w:rsidRPr="005C66C1">
        <w:rPr>
          <w:sz w:val="20"/>
          <w:szCs w:val="20"/>
        </w:rPr>
        <w:t>H</w:t>
      </w:r>
      <w:r w:rsidRPr="005C66C1">
        <w:rPr>
          <w:rFonts w:eastAsiaTheme="minorEastAsia" w:cstheme="minorBidi"/>
          <w:sz w:val="20"/>
          <w:szCs w:val="20"/>
          <w:lang w:eastAsia="en-US"/>
        </w:rPr>
        <w:t>owever, complaints may be received by phone or email as part of the daily business activity of a PSC business unit.</w:t>
      </w:r>
    </w:p>
    <w:p w14:paraId="3A967AAA" w14:textId="77777777" w:rsidR="005C66C1" w:rsidRPr="00056535" w:rsidRDefault="005C66C1" w:rsidP="00056535">
      <w:pPr>
        <w:pStyle w:val="Numberedlist2"/>
        <w:ind w:left="900" w:hanging="450"/>
        <w:rPr>
          <w:color w:val="007A6D"/>
          <w:sz w:val="22"/>
          <w:szCs w:val="22"/>
        </w:rPr>
      </w:pPr>
      <w:r w:rsidRPr="00056535">
        <w:rPr>
          <w:color w:val="007A6D"/>
          <w:sz w:val="22"/>
          <w:szCs w:val="22"/>
        </w:rPr>
        <w:t>Complaint issue categories</w:t>
      </w:r>
    </w:p>
    <w:p w14:paraId="39EC9364" w14:textId="77777777" w:rsidR="005C66C1" w:rsidRPr="00B7772D" w:rsidRDefault="005C66C1" w:rsidP="00B7772D">
      <w:pPr>
        <w:pStyle w:val="BodyText"/>
        <w:spacing w:before="73"/>
        <w:ind w:left="450" w:right="9"/>
        <w:rPr>
          <w:rFonts w:eastAsiaTheme="minorEastAsia" w:cstheme="minorBidi"/>
          <w:sz w:val="20"/>
          <w:szCs w:val="20"/>
          <w:lang w:eastAsia="en-US"/>
        </w:rPr>
      </w:pPr>
      <w:r w:rsidRPr="00B7772D">
        <w:rPr>
          <w:rFonts w:eastAsiaTheme="minorEastAsia" w:cstheme="minorBidi"/>
          <w:sz w:val="20"/>
          <w:szCs w:val="20"/>
          <w:lang w:eastAsia="en-US"/>
        </w:rPr>
        <w:t>How a complaint will be managed will be determined by the complexity of the complaint and the complaint issue category.</w:t>
      </w:r>
    </w:p>
    <w:p w14:paraId="64350392" w14:textId="77777777" w:rsidR="005C66C1" w:rsidRPr="00B7772D" w:rsidRDefault="005C66C1" w:rsidP="00B7772D">
      <w:pPr>
        <w:pStyle w:val="BodyText"/>
        <w:spacing w:before="73"/>
        <w:ind w:left="450" w:right="9"/>
        <w:rPr>
          <w:rFonts w:eastAsiaTheme="minorEastAsia" w:cstheme="minorBidi"/>
          <w:sz w:val="20"/>
          <w:szCs w:val="20"/>
          <w:lang w:eastAsia="en-US"/>
        </w:rPr>
      </w:pPr>
      <w:r w:rsidRPr="00B7772D">
        <w:rPr>
          <w:rFonts w:eastAsiaTheme="minorEastAsia" w:cstheme="minorBidi"/>
          <w:sz w:val="20"/>
          <w:szCs w:val="20"/>
          <w:lang w:eastAsia="en-US"/>
        </w:rPr>
        <w:t>Complaints are to be recorded according to the following categories to identify business improvement opportunities:</w:t>
      </w:r>
    </w:p>
    <w:tbl>
      <w:tblPr>
        <w:tblW w:w="4957"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48"/>
        <w:gridCol w:w="6484"/>
      </w:tblGrid>
      <w:tr w:rsidR="00546066" w:rsidRPr="00546066" w14:paraId="29B9D598" w14:textId="77777777" w:rsidTr="006E29A2">
        <w:trPr>
          <w:trHeight w:val="479"/>
        </w:trPr>
        <w:tc>
          <w:tcPr>
            <w:tcW w:w="1329" w:type="pct"/>
            <w:shd w:val="clear" w:color="auto" w:fill="E7E6E6"/>
          </w:tcPr>
          <w:p w14:paraId="07A7E6BE" w14:textId="77777777" w:rsidR="00546066" w:rsidRPr="00546066" w:rsidRDefault="00546066" w:rsidP="00000F77">
            <w:pPr>
              <w:pStyle w:val="TableParagraph"/>
              <w:spacing w:before="110"/>
              <w:rPr>
                <w:b/>
                <w:sz w:val="20"/>
                <w:szCs w:val="20"/>
              </w:rPr>
            </w:pPr>
            <w:r w:rsidRPr="00546066">
              <w:rPr>
                <w:b/>
                <w:sz w:val="20"/>
                <w:szCs w:val="20"/>
              </w:rPr>
              <w:t>Complaint Categories</w:t>
            </w:r>
          </w:p>
        </w:tc>
        <w:tc>
          <w:tcPr>
            <w:tcW w:w="3671" w:type="pct"/>
            <w:shd w:val="clear" w:color="auto" w:fill="E7E6E6"/>
          </w:tcPr>
          <w:p w14:paraId="4F4BCB0F" w14:textId="77777777" w:rsidR="00546066" w:rsidRPr="00546066" w:rsidRDefault="00546066" w:rsidP="00000F77">
            <w:pPr>
              <w:pStyle w:val="TableParagraph"/>
              <w:spacing w:before="110"/>
              <w:rPr>
                <w:b/>
                <w:sz w:val="20"/>
                <w:szCs w:val="20"/>
              </w:rPr>
            </w:pPr>
            <w:r w:rsidRPr="00546066">
              <w:rPr>
                <w:b/>
                <w:sz w:val="20"/>
                <w:szCs w:val="20"/>
              </w:rPr>
              <w:t>Description</w:t>
            </w:r>
          </w:p>
        </w:tc>
      </w:tr>
      <w:tr w:rsidR="00546066" w:rsidRPr="00546066" w14:paraId="1E0AFDC0" w14:textId="77777777" w:rsidTr="006E29A2">
        <w:trPr>
          <w:trHeight w:val="506"/>
        </w:trPr>
        <w:tc>
          <w:tcPr>
            <w:tcW w:w="1329" w:type="pct"/>
          </w:tcPr>
          <w:p w14:paraId="5943E536" w14:textId="77777777" w:rsidR="00546066" w:rsidRPr="00546066" w:rsidRDefault="00546066" w:rsidP="00000F77">
            <w:pPr>
              <w:pStyle w:val="TableParagraph"/>
              <w:spacing w:before="124"/>
              <w:rPr>
                <w:sz w:val="20"/>
                <w:szCs w:val="20"/>
              </w:rPr>
            </w:pPr>
            <w:r w:rsidRPr="00546066">
              <w:rPr>
                <w:sz w:val="20"/>
                <w:szCs w:val="20"/>
              </w:rPr>
              <w:t>Service delivery</w:t>
            </w:r>
          </w:p>
        </w:tc>
        <w:tc>
          <w:tcPr>
            <w:tcW w:w="3671" w:type="pct"/>
          </w:tcPr>
          <w:p w14:paraId="1CBD1CEA" w14:textId="77777777" w:rsidR="00546066" w:rsidRPr="00546066" w:rsidRDefault="00546066" w:rsidP="00000F77">
            <w:pPr>
              <w:pStyle w:val="TableParagraph"/>
              <w:spacing w:before="4" w:line="252" w:lineRule="exact"/>
              <w:ind w:right="521"/>
              <w:rPr>
                <w:sz w:val="20"/>
                <w:szCs w:val="20"/>
              </w:rPr>
            </w:pPr>
            <w:r w:rsidRPr="00546066">
              <w:rPr>
                <w:sz w:val="20"/>
                <w:szCs w:val="20"/>
              </w:rPr>
              <w:t>A complaint about how a service is provided including timeliness, quality or cost of the service</w:t>
            </w:r>
          </w:p>
        </w:tc>
      </w:tr>
      <w:tr w:rsidR="00546066" w:rsidRPr="00546066" w14:paraId="10B9703F" w14:textId="77777777" w:rsidTr="006E29A2">
        <w:trPr>
          <w:trHeight w:val="1010"/>
        </w:trPr>
        <w:tc>
          <w:tcPr>
            <w:tcW w:w="1329" w:type="pct"/>
          </w:tcPr>
          <w:p w14:paraId="26B55FD4" w14:textId="77777777" w:rsidR="00546066" w:rsidRPr="00546066" w:rsidRDefault="00546066" w:rsidP="00000F77">
            <w:pPr>
              <w:pStyle w:val="TableParagraph"/>
              <w:ind w:right="625"/>
              <w:rPr>
                <w:sz w:val="20"/>
                <w:szCs w:val="20"/>
              </w:rPr>
            </w:pPr>
            <w:r w:rsidRPr="00546066">
              <w:rPr>
                <w:sz w:val="20"/>
                <w:szCs w:val="20"/>
              </w:rPr>
              <w:t>Staff conduct including the Commission Chief</w:t>
            </w:r>
          </w:p>
          <w:p w14:paraId="172A20E2" w14:textId="77777777" w:rsidR="00546066" w:rsidRPr="00546066" w:rsidRDefault="00546066" w:rsidP="00000F77">
            <w:pPr>
              <w:pStyle w:val="TableParagraph"/>
              <w:spacing w:line="234" w:lineRule="exact"/>
              <w:rPr>
                <w:sz w:val="20"/>
                <w:szCs w:val="20"/>
              </w:rPr>
            </w:pPr>
            <w:r w:rsidRPr="00546066">
              <w:rPr>
                <w:sz w:val="20"/>
                <w:szCs w:val="20"/>
              </w:rPr>
              <w:t>Executive</w:t>
            </w:r>
          </w:p>
        </w:tc>
        <w:tc>
          <w:tcPr>
            <w:tcW w:w="3671" w:type="pct"/>
          </w:tcPr>
          <w:p w14:paraId="463C41E9" w14:textId="77777777" w:rsidR="00546066" w:rsidRPr="00546066" w:rsidRDefault="00546066" w:rsidP="00000F77">
            <w:pPr>
              <w:pStyle w:val="TableParagraph"/>
              <w:spacing w:line="251" w:lineRule="exact"/>
              <w:rPr>
                <w:sz w:val="20"/>
                <w:szCs w:val="20"/>
              </w:rPr>
            </w:pPr>
            <w:r w:rsidRPr="00546066">
              <w:rPr>
                <w:sz w:val="20"/>
                <w:szCs w:val="20"/>
              </w:rPr>
              <w:t>A complaint about the behaviour of a staff member when providing a service.</w:t>
            </w:r>
          </w:p>
        </w:tc>
      </w:tr>
      <w:tr w:rsidR="00546066" w:rsidRPr="00546066" w14:paraId="052B84A1" w14:textId="77777777" w:rsidTr="006E29A2">
        <w:trPr>
          <w:trHeight w:val="1012"/>
        </w:trPr>
        <w:tc>
          <w:tcPr>
            <w:tcW w:w="1329" w:type="pct"/>
          </w:tcPr>
          <w:p w14:paraId="3513EA3E" w14:textId="77777777" w:rsidR="00546066" w:rsidRPr="00546066" w:rsidRDefault="00546066" w:rsidP="00000F77">
            <w:pPr>
              <w:pStyle w:val="TableParagraph"/>
              <w:ind w:right="160"/>
              <w:rPr>
                <w:sz w:val="20"/>
                <w:szCs w:val="20"/>
              </w:rPr>
            </w:pPr>
            <w:r w:rsidRPr="00546066">
              <w:rPr>
                <w:sz w:val="20"/>
                <w:szCs w:val="20"/>
              </w:rPr>
              <w:t>Administrative decision Including the Commission Chief</w:t>
            </w:r>
          </w:p>
          <w:p w14:paraId="580E1FB1" w14:textId="77777777" w:rsidR="00546066" w:rsidRPr="00546066" w:rsidRDefault="00546066" w:rsidP="00000F77">
            <w:pPr>
              <w:pStyle w:val="TableParagraph"/>
              <w:spacing w:line="234" w:lineRule="exact"/>
              <w:rPr>
                <w:sz w:val="20"/>
                <w:szCs w:val="20"/>
              </w:rPr>
            </w:pPr>
            <w:r w:rsidRPr="00546066">
              <w:rPr>
                <w:sz w:val="20"/>
                <w:szCs w:val="20"/>
              </w:rPr>
              <w:t>Executive</w:t>
            </w:r>
          </w:p>
        </w:tc>
        <w:tc>
          <w:tcPr>
            <w:tcW w:w="3671" w:type="pct"/>
          </w:tcPr>
          <w:p w14:paraId="30E2BAF8" w14:textId="77777777" w:rsidR="00546066" w:rsidRPr="00546066" w:rsidRDefault="00546066" w:rsidP="00000F77">
            <w:pPr>
              <w:pStyle w:val="TableParagraph"/>
              <w:spacing w:line="242" w:lineRule="auto"/>
              <w:ind w:right="337"/>
              <w:rPr>
                <w:sz w:val="20"/>
                <w:szCs w:val="20"/>
              </w:rPr>
            </w:pPr>
            <w:r w:rsidRPr="00546066">
              <w:rPr>
                <w:sz w:val="20"/>
                <w:szCs w:val="20"/>
              </w:rPr>
              <w:t>A complaint made about a decision made by a PSC Officer when providing a service.</w:t>
            </w:r>
          </w:p>
        </w:tc>
      </w:tr>
      <w:tr w:rsidR="00546066" w:rsidRPr="00546066" w14:paraId="4B4A8294" w14:textId="77777777" w:rsidTr="006E29A2">
        <w:trPr>
          <w:trHeight w:val="455"/>
        </w:trPr>
        <w:tc>
          <w:tcPr>
            <w:tcW w:w="1329" w:type="pct"/>
          </w:tcPr>
          <w:p w14:paraId="718BC15E" w14:textId="77777777" w:rsidR="00546066" w:rsidRPr="00546066" w:rsidRDefault="00546066" w:rsidP="00000F77">
            <w:pPr>
              <w:pStyle w:val="TableParagraph"/>
              <w:spacing w:before="98"/>
              <w:rPr>
                <w:sz w:val="20"/>
                <w:szCs w:val="20"/>
              </w:rPr>
            </w:pPr>
            <w:r w:rsidRPr="00546066">
              <w:rPr>
                <w:sz w:val="20"/>
                <w:szCs w:val="20"/>
              </w:rPr>
              <w:t>Policy/Procedure</w:t>
            </w:r>
          </w:p>
        </w:tc>
        <w:tc>
          <w:tcPr>
            <w:tcW w:w="3671" w:type="pct"/>
          </w:tcPr>
          <w:p w14:paraId="19862BC9" w14:textId="77777777" w:rsidR="00546066" w:rsidRPr="00546066" w:rsidRDefault="00546066" w:rsidP="00000F77">
            <w:pPr>
              <w:pStyle w:val="TableParagraph"/>
              <w:spacing w:line="250" w:lineRule="exact"/>
              <w:rPr>
                <w:sz w:val="20"/>
                <w:szCs w:val="20"/>
              </w:rPr>
            </w:pPr>
            <w:r w:rsidRPr="00546066">
              <w:rPr>
                <w:sz w:val="20"/>
                <w:szCs w:val="20"/>
              </w:rPr>
              <w:t>A complaint about the process followed to provide a service.</w:t>
            </w:r>
          </w:p>
        </w:tc>
      </w:tr>
      <w:tr w:rsidR="00546066" w:rsidRPr="00587EA1" w14:paraId="1B05E240" w14:textId="77777777" w:rsidTr="006E29A2">
        <w:trPr>
          <w:trHeight w:val="1012"/>
        </w:trPr>
        <w:tc>
          <w:tcPr>
            <w:tcW w:w="1329" w:type="pct"/>
          </w:tcPr>
          <w:p w14:paraId="4889BBA9" w14:textId="77777777" w:rsidR="00546066" w:rsidRPr="00587EA1" w:rsidRDefault="00546066" w:rsidP="00000F77">
            <w:pPr>
              <w:pStyle w:val="TableParagraph"/>
              <w:ind w:right="160"/>
              <w:rPr>
                <w:sz w:val="20"/>
                <w:szCs w:val="20"/>
              </w:rPr>
            </w:pPr>
            <w:r w:rsidRPr="00587EA1">
              <w:rPr>
                <w:sz w:val="20"/>
                <w:szCs w:val="20"/>
              </w:rPr>
              <w:t>Privacy</w:t>
            </w:r>
          </w:p>
        </w:tc>
        <w:tc>
          <w:tcPr>
            <w:tcW w:w="3671" w:type="pct"/>
          </w:tcPr>
          <w:p w14:paraId="4A64E083" w14:textId="1E065CC4" w:rsidR="00546066" w:rsidRPr="00587EA1" w:rsidRDefault="00546066" w:rsidP="004D6FDE">
            <w:pPr>
              <w:pStyle w:val="TableParagraph"/>
              <w:ind w:right="385"/>
              <w:rPr>
                <w:sz w:val="20"/>
                <w:szCs w:val="20"/>
              </w:rPr>
            </w:pPr>
            <w:r w:rsidRPr="00587EA1">
              <w:rPr>
                <w:sz w:val="20"/>
                <w:szCs w:val="20"/>
              </w:rPr>
              <w:t xml:space="preserve">A complaint about a breach of the PSC’s obligations under the </w:t>
            </w:r>
            <w:r w:rsidRPr="00587EA1">
              <w:rPr>
                <w:i/>
                <w:sz w:val="20"/>
                <w:szCs w:val="20"/>
              </w:rPr>
              <w:t xml:space="preserve">Information Privacy Act 2009 </w:t>
            </w:r>
            <w:r w:rsidRPr="00587EA1">
              <w:rPr>
                <w:sz w:val="20"/>
                <w:szCs w:val="20"/>
              </w:rPr>
              <w:t>relating to the proper handling of personal information, including how it is collected, stored, secured, accessed, amended, used and</w:t>
            </w:r>
            <w:r w:rsidR="004D6FDE" w:rsidRPr="00587EA1">
              <w:rPr>
                <w:sz w:val="20"/>
                <w:szCs w:val="20"/>
              </w:rPr>
              <w:t xml:space="preserve"> </w:t>
            </w:r>
            <w:r w:rsidRPr="00587EA1">
              <w:rPr>
                <w:sz w:val="20"/>
                <w:szCs w:val="20"/>
              </w:rPr>
              <w:t>disclosed.</w:t>
            </w:r>
          </w:p>
        </w:tc>
      </w:tr>
      <w:tr w:rsidR="00546066" w:rsidRPr="00587EA1" w14:paraId="2082F734" w14:textId="77777777" w:rsidTr="006E29A2">
        <w:trPr>
          <w:trHeight w:val="1012"/>
        </w:trPr>
        <w:tc>
          <w:tcPr>
            <w:tcW w:w="1329" w:type="pct"/>
          </w:tcPr>
          <w:p w14:paraId="4BC570DD" w14:textId="77777777" w:rsidR="00546066" w:rsidRPr="00587EA1" w:rsidRDefault="00546066" w:rsidP="00000F77">
            <w:pPr>
              <w:pStyle w:val="TableParagraph"/>
              <w:ind w:right="160"/>
              <w:rPr>
                <w:sz w:val="20"/>
                <w:szCs w:val="20"/>
              </w:rPr>
            </w:pPr>
            <w:r w:rsidRPr="00587EA1">
              <w:rPr>
                <w:sz w:val="20"/>
                <w:szCs w:val="20"/>
              </w:rPr>
              <w:t>Human Rights</w:t>
            </w:r>
          </w:p>
        </w:tc>
        <w:tc>
          <w:tcPr>
            <w:tcW w:w="3671" w:type="pct"/>
          </w:tcPr>
          <w:p w14:paraId="7087B04A" w14:textId="71A3FD68" w:rsidR="00546066" w:rsidRPr="00587EA1" w:rsidRDefault="00546066" w:rsidP="00000F77">
            <w:pPr>
              <w:pStyle w:val="TableParagraph"/>
              <w:ind w:right="385"/>
              <w:rPr>
                <w:sz w:val="20"/>
                <w:szCs w:val="20"/>
              </w:rPr>
            </w:pPr>
            <w:r w:rsidRPr="00587EA1">
              <w:rPr>
                <w:sz w:val="20"/>
                <w:szCs w:val="20"/>
              </w:rPr>
              <w:t xml:space="preserve">A complaint made about an act or decision that is not compatible with human rights or a decision that failed to </w:t>
            </w:r>
            <w:proofErr w:type="gramStart"/>
            <w:r w:rsidRPr="00587EA1">
              <w:rPr>
                <w:sz w:val="20"/>
                <w:szCs w:val="20"/>
              </w:rPr>
              <w:t>give proper consideration to</w:t>
            </w:r>
            <w:proofErr w:type="gramEnd"/>
            <w:r w:rsidRPr="00587EA1">
              <w:rPr>
                <w:sz w:val="20"/>
                <w:szCs w:val="20"/>
              </w:rPr>
              <w:t xml:space="preserve"> a relevant human right</w:t>
            </w:r>
            <w:r w:rsidR="004D6FDE" w:rsidRPr="00587EA1">
              <w:rPr>
                <w:sz w:val="20"/>
                <w:szCs w:val="20"/>
              </w:rPr>
              <w:t xml:space="preserve"> under the </w:t>
            </w:r>
            <w:r w:rsidR="004D6FDE" w:rsidRPr="00587EA1">
              <w:rPr>
                <w:i/>
                <w:sz w:val="20"/>
                <w:szCs w:val="20"/>
              </w:rPr>
              <w:t>Human Rights Act 2019</w:t>
            </w:r>
            <w:r w:rsidRPr="00587EA1">
              <w:rPr>
                <w:sz w:val="20"/>
                <w:szCs w:val="20"/>
              </w:rPr>
              <w:t>.</w:t>
            </w:r>
          </w:p>
        </w:tc>
      </w:tr>
    </w:tbl>
    <w:p w14:paraId="1424578B" w14:textId="23A7586E" w:rsidR="000C36B3" w:rsidRDefault="008B3091" w:rsidP="000C36B3">
      <w:pPr>
        <w:pStyle w:val="Heading2"/>
        <w:numPr>
          <w:ilvl w:val="0"/>
          <w:numId w:val="6"/>
        </w:numPr>
        <w:ind w:left="426" w:hanging="426"/>
      </w:pPr>
      <w:r w:rsidRPr="00587EA1">
        <w:t>Timeframes for resolution of co</w:t>
      </w:r>
      <w:r>
        <w:t>mplaints</w:t>
      </w:r>
    </w:p>
    <w:p w14:paraId="764CA864" w14:textId="65F8276F" w:rsidR="00572BDC" w:rsidRDefault="00572BDC" w:rsidP="00572BDC">
      <w:r>
        <w:t>Complaints within the scope of the PSC Complaints Management Policy and Procedure will be resolved within the timeframes that apply to the following levels of complexity: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973"/>
        <w:gridCol w:w="2968"/>
        <w:gridCol w:w="2968"/>
      </w:tblGrid>
      <w:tr w:rsidR="00245303" w:rsidRPr="00245303" w14:paraId="61A07F19" w14:textId="77777777" w:rsidTr="004D6FDE">
        <w:trPr>
          <w:trHeight w:val="758"/>
          <w:tblHeader/>
        </w:trPr>
        <w:tc>
          <w:tcPr>
            <w:tcW w:w="1668" w:type="pct"/>
            <w:shd w:val="clear" w:color="auto" w:fill="E7E6E6"/>
          </w:tcPr>
          <w:p w14:paraId="2CA2FB63" w14:textId="77777777" w:rsidR="00245303" w:rsidRPr="00245303" w:rsidRDefault="00245303" w:rsidP="00000F77">
            <w:pPr>
              <w:pStyle w:val="TableParagraph"/>
              <w:spacing w:before="5"/>
              <w:ind w:left="0"/>
              <w:rPr>
                <w:sz w:val="20"/>
                <w:szCs w:val="20"/>
              </w:rPr>
            </w:pPr>
          </w:p>
          <w:p w14:paraId="0392D67E" w14:textId="77777777" w:rsidR="00245303" w:rsidRPr="00245303" w:rsidRDefault="00245303" w:rsidP="00000F77">
            <w:pPr>
              <w:pStyle w:val="TableParagraph"/>
              <w:rPr>
                <w:b/>
                <w:sz w:val="20"/>
                <w:szCs w:val="20"/>
              </w:rPr>
            </w:pPr>
            <w:r w:rsidRPr="00245303">
              <w:rPr>
                <w:b/>
                <w:sz w:val="20"/>
                <w:szCs w:val="20"/>
              </w:rPr>
              <w:t>Classification</w:t>
            </w:r>
          </w:p>
        </w:tc>
        <w:tc>
          <w:tcPr>
            <w:tcW w:w="1666" w:type="pct"/>
            <w:shd w:val="clear" w:color="auto" w:fill="E7E6E6"/>
          </w:tcPr>
          <w:p w14:paraId="333B44DD" w14:textId="77777777" w:rsidR="00245303" w:rsidRPr="00245303" w:rsidRDefault="00245303" w:rsidP="00000F77">
            <w:pPr>
              <w:pStyle w:val="TableParagraph"/>
              <w:spacing w:before="5"/>
              <w:ind w:left="0"/>
              <w:rPr>
                <w:sz w:val="20"/>
                <w:szCs w:val="20"/>
              </w:rPr>
            </w:pPr>
          </w:p>
          <w:p w14:paraId="03CDA8C2" w14:textId="77777777" w:rsidR="00245303" w:rsidRPr="00245303" w:rsidRDefault="00245303" w:rsidP="00000F77">
            <w:pPr>
              <w:pStyle w:val="TableParagraph"/>
              <w:ind w:left="108"/>
              <w:rPr>
                <w:b/>
                <w:sz w:val="20"/>
                <w:szCs w:val="20"/>
              </w:rPr>
            </w:pPr>
            <w:r w:rsidRPr="00245303">
              <w:rPr>
                <w:b/>
                <w:sz w:val="20"/>
                <w:szCs w:val="20"/>
              </w:rPr>
              <w:t>Description</w:t>
            </w:r>
          </w:p>
        </w:tc>
        <w:tc>
          <w:tcPr>
            <w:tcW w:w="1666" w:type="pct"/>
            <w:shd w:val="clear" w:color="auto" w:fill="E7E6E6"/>
          </w:tcPr>
          <w:p w14:paraId="53E3B4EB" w14:textId="01989230" w:rsidR="00245303" w:rsidRPr="00245303" w:rsidRDefault="00245303" w:rsidP="004D6FDE">
            <w:pPr>
              <w:pStyle w:val="TableParagraph"/>
              <w:ind w:left="108" w:right="456"/>
              <w:rPr>
                <w:b/>
                <w:sz w:val="20"/>
                <w:szCs w:val="20"/>
              </w:rPr>
            </w:pPr>
            <w:r w:rsidRPr="00245303">
              <w:rPr>
                <w:b/>
                <w:sz w:val="20"/>
                <w:szCs w:val="20"/>
              </w:rPr>
              <w:t>Timeframe for internal assessment, resolution and</w:t>
            </w:r>
            <w:r w:rsidR="004D6FDE">
              <w:rPr>
                <w:b/>
                <w:sz w:val="20"/>
                <w:szCs w:val="20"/>
              </w:rPr>
              <w:t xml:space="preserve"> </w:t>
            </w:r>
            <w:r w:rsidRPr="00245303">
              <w:rPr>
                <w:b/>
                <w:sz w:val="20"/>
                <w:szCs w:val="20"/>
              </w:rPr>
              <w:t>decision</w:t>
            </w:r>
          </w:p>
        </w:tc>
      </w:tr>
      <w:tr w:rsidR="00245303" w:rsidRPr="00245303" w14:paraId="777E4EC6" w14:textId="77777777" w:rsidTr="00245303">
        <w:trPr>
          <w:trHeight w:val="1012"/>
        </w:trPr>
        <w:tc>
          <w:tcPr>
            <w:tcW w:w="1668" w:type="pct"/>
          </w:tcPr>
          <w:p w14:paraId="6538D937" w14:textId="77777777" w:rsidR="00245303" w:rsidRPr="00245303" w:rsidRDefault="00245303" w:rsidP="00000F77">
            <w:pPr>
              <w:pStyle w:val="TableParagraph"/>
              <w:spacing w:line="248" w:lineRule="exact"/>
              <w:rPr>
                <w:b/>
                <w:sz w:val="20"/>
                <w:szCs w:val="20"/>
              </w:rPr>
            </w:pPr>
            <w:r w:rsidRPr="00245303">
              <w:rPr>
                <w:b/>
                <w:sz w:val="20"/>
                <w:szCs w:val="20"/>
              </w:rPr>
              <w:t>Simple</w:t>
            </w:r>
          </w:p>
          <w:p w14:paraId="50F20BD7" w14:textId="77777777" w:rsidR="00245303" w:rsidRPr="00245303" w:rsidRDefault="00245303" w:rsidP="00000F77">
            <w:pPr>
              <w:pStyle w:val="TableParagraph"/>
              <w:spacing w:before="4"/>
              <w:ind w:right="252"/>
              <w:rPr>
                <w:sz w:val="20"/>
                <w:szCs w:val="20"/>
              </w:rPr>
            </w:pPr>
            <w:r w:rsidRPr="00245303">
              <w:rPr>
                <w:sz w:val="20"/>
                <w:szCs w:val="20"/>
              </w:rPr>
              <w:t>No risk or detriment to the client or the PSC</w:t>
            </w:r>
          </w:p>
        </w:tc>
        <w:tc>
          <w:tcPr>
            <w:tcW w:w="1666" w:type="pct"/>
          </w:tcPr>
          <w:p w14:paraId="202BC67E" w14:textId="3EADF8C8" w:rsidR="00245303" w:rsidRPr="00245303" w:rsidRDefault="00245303" w:rsidP="004D6FDE">
            <w:pPr>
              <w:pStyle w:val="TableParagraph"/>
              <w:ind w:left="108" w:right="370"/>
              <w:rPr>
                <w:sz w:val="20"/>
                <w:szCs w:val="20"/>
              </w:rPr>
            </w:pPr>
            <w:r w:rsidRPr="00245303">
              <w:rPr>
                <w:sz w:val="20"/>
                <w:szCs w:val="20"/>
              </w:rPr>
              <w:t>A complaint that is resolved at the point of service by a PSC staff member with oversight by</w:t>
            </w:r>
            <w:r w:rsidR="004D6FDE">
              <w:rPr>
                <w:sz w:val="20"/>
                <w:szCs w:val="20"/>
              </w:rPr>
              <w:t xml:space="preserve"> </w:t>
            </w:r>
            <w:r w:rsidRPr="00245303">
              <w:rPr>
                <w:sz w:val="20"/>
                <w:szCs w:val="20"/>
              </w:rPr>
              <w:t>manager of business unit.</w:t>
            </w:r>
          </w:p>
        </w:tc>
        <w:tc>
          <w:tcPr>
            <w:tcW w:w="1666" w:type="pct"/>
          </w:tcPr>
          <w:p w14:paraId="4A6A9FB9" w14:textId="77777777" w:rsidR="00245303" w:rsidRPr="00245303" w:rsidRDefault="00245303" w:rsidP="00000F77">
            <w:pPr>
              <w:pStyle w:val="TableParagraph"/>
              <w:spacing w:line="242" w:lineRule="auto"/>
              <w:ind w:left="108" w:right="235"/>
              <w:rPr>
                <w:sz w:val="20"/>
                <w:szCs w:val="20"/>
              </w:rPr>
            </w:pPr>
            <w:r w:rsidRPr="00245303">
              <w:rPr>
                <w:sz w:val="20"/>
                <w:szCs w:val="20"/>
              </w:rPr>
              <w:t>Resolved within 24 hours where possible.</w:t>
            </w:r>
          </w:p>
        </w:tc>
      </w:tr>
      <w:tr w:rsidR="00245303" w:rsidRPr="00245303" w14:paraId="251337CE" w14:textId="77777777" w:rsidTr="00245303">
        <w:trPr>
          <w:trHeight w:val="1519"/>
        </w:trPr>
        <w:tc>
          <w:tcPr>
            <w:tcW w:w="1668" w:type="pct"/>
          </w:tcPr>
          <w:p w14:paraId="43A10893" w14:textId="77777777" w:rsidR="00245303" w:rsidRPr="00245303" w:rsidRDefault="00245303" w:rsidP="00000F77">
            <w:pPr>
              <w:pStyle w:val="TableParagraph"/>
              <w:spacing w:line="248" w:lineRule="exact"/>
              <w:rPr>
                <w:b/>
                <w:sz w:val="20"/>
                <w:szCs w:val="20"/>
              </w:rPr>
            </w:pPr>
            <w:r w:rsidRPr="00245303">
              <w:rPr>
                <w:b/>
                <w:sz w:val="20"/>
                <w:szCs w:val="20"/>
              </w:rPr>
              <w:lastRenderedPageBreak/>
              <w:t>Standard</w:t>
            </w:r>
          </w:p>
          <w:p w14:paraId="13D2D8FB" w14:textId="77777777" w:rsidR="00245303" w:rsidRPr="00245303" w:rsidRDefault="00245303" w:rsidP="00000F77">
            <w:pPr>
              <w:pStyle w:val="TableParagraph"/>
              <w:spacing w:before="4"/>
              <w:ind w:right="350"/>
              <w:rPr>
                <w:sz w:val="20"/>
                <w:szCs w:val="20"/>
              </w:rPr>
            </w:pPr>
            <w:r w:rsidRPr="00245303">
              <w:rPr>
                <w:sz w:val="20"/>
                <w:szCs w:val="20"/>
              </w:rPr>
              <w:t>Minimal risk or detriment to the client or the PSC</w:t>
            </w:r>
          </w:p>
        </w:tc>
        <w:tc>
          <w:tcPr>
            <w:tcW w:w="1666" w:type="pct"/>
          </w:tcPr>
          <w:p w14:paraId="55EC3197" w14:textId="36C45B57" w:rsidR="00245303" w:rsidRPr="00245303" w:rsidRDefault="00245303" w:rsidP="003B7FD4">
            <w:pPr>
              <w:pStyle w:val="TableParagraph"/>
              <w:spacing w:line="242" w:lineRule="auto"/>
              <w:ind w:left="108" w:right="150"/>
              <w:rPr>
                <w:sz w:val="20"/>
                <w:szCs w:val="20"/>
              </w:rPr>
            </w:pPr>
            <w:r w:rsidRPr="00245303">
              <w:rPr>
                <w:sz w:val="20"/>
                <w:szCs w:val="20"/>
              </w:rPr>
              <w:t>A complaint that usually has only one single issue or concern.</w:t>
            </w:r>
            <w:r w:rsidR="003B7FD4">
              <w:rPr>
                <w:sz w:val="20"/>
                <w:szCs w:val="20"/>
              </w:rPr>
              <w:t xml:space="preserve"> </w:t>
            </w:r>
            <w:r w:rsidRPr="00245303">
              <w:rPr>
                <w:sz w:val="20"/>
                <w:szCs w:val="20"/>
              </w:rPr>
              <w:t xml:space="preserve">Managed by </w:t>
            </w:r>
            <w:r w:rsidR="003B7FD4">
              <w:rPr>
                <w:sz w:val="20"/>
                <w:szCs w:val="20"/>
              </w:rPr>
              <w:t xml:space="preserve">the </w:t>
            </w:r>
            <w:r w:rsidRPr="00245303">
              <w:rPr>
                <w:sz w:val="20"/>
                <w:szCs w:val="20"/>
              </w:rPr>
              <w:t>PSC Complaints Coordinator.</w:t>
            </w:r>
          </w:p>
        </w:tc>
        <w:tc>
          <w:tcPr>
            <w:tcW w:w="1666" w:type="pct"/>
          </w:tcPr>
          <w:p w14:paraId="61376464" w14:textId="77777777" w:rsidR="00245303" w:rsidRPr="00245303" w:rsidRDefault="00245303" w:rsidP="00000F77">
            <w:pPr>
              <w:pStyle w:val="TableParagraph"/>
              <w:spacing w:line="242" w:lineRule="auto"/>
              <w:ind w:left="108" w:right="175"/>
              <w:rPr>
                <w:sz w:val="20"/>
                <w:szCs w:val="20"/>
              </w:rPr>
            </w:pPr>
            <w:r w:rsidRPr="00245303">
              <w:rPr>
                <w:sz w:val="20"/>
                <w:szCs w:val="20"/>
              </w:rPr>
              <w:t>Within a maximum of 20 working days of receipt of complaint.</w:t>
            </w:r>
          </w:p>
        </w:tc>
      </w:tr>
      <w:tr w:rsidR="00245303" w:rsidRPr="00587EA1" w14:paraId="0D5902C3" w14:textId="77777777" w:rsidTr="00245303">
        <w:trPr>
          <w:trHeight w:val="1264"/>
        </w:trPr>
        <w:tc>
          <w:tcPr>
            <w:tcW w:w="1668" w:type="pct"/>
          </w:tcPr>
          <w:p w14:paraId="6D50ADC1" w14:textId="77777777" w:rsidR="00245303" w:rsidRPr="00587EA1" w:rsidRDefault="00245303" w:rsidP="00000F77">
            <w:pPr>
              <w:pStyle w:val="TableParagraph"/>
              <w:spacing w:line="248" w:lineRule="exact"/>
              <w:rPr>
                <w:b/>
                <w:sz w:val="20"/>
                <w:szCs w:val="20"/>
              </w:rPr>
            </w:pPr>
            <w:r w:rsidRPr="00587EA1">
              <w:rPr>
                <w:b/>
                <w:sz w:val="20"/>
                <w:szCs w:val="20"/>
              </w:rPr>
              <w:t>Significant/Complex</w:t>
            </w:r>
          </w:p>
          <w:p w14:paraId="4B26AFBC" w14:textId="77777777" w:rsidR="00245303" w:rsidRPr="00587EA1" w:rsidRDefault="00245303" w:rsidP="00000F77">
            <w:pPr>
              <w:pStyle w:val="TableParagraph"/>
              <w:spacing w:before="1"/>
              <w:ind w:right="227"/>
              <w:rPr>
                <w:sz w:val="20"/>
                <w:szCs w:val="20"/>
              </w:rPr>
            </w:pPr>
            <w:r w:rsidRPr="00587EA1">
              <w:rPr>
                <w:sz w:val="20"/>
                <w:szCs w:val="20"/>
              </w:rPr>
              <w:t>Medium or high level of risk/detriment to the client or the PSC.</w:t>
            </w:r>
          </w:p>
        </w:tc>
        <w:tc>
          <w:tcPr>
            <w:tcW w:w="1666" w:type="pct"/>
          </w:tcPr>
          <w:p w14:paraId="342D05D5" w14:textId="1DE9F41B" w:rsidR="00245303" w:rsidRPr="00587EA1" w:rsidRDefault="00245303" w:rsidP="003B7FD4">
            <w:pPr>
              <w:pStyle w:val="TableParagraph"/>
              <w:ind w:left="108" w:right="161"/>
              <w:rPr>
                <w:sz w:val="20"/>
                <w:szCs w:val="20"/>
              </w:rPr>
            </w:pPr>
            <w:r w:rsidRPr="00587EA1">
              <w:rPr>
                <w:sz w:val="20"/>
                <w:szCs w:val="20"/>
              </w:rPr>
              <w:t>A complaint that has multiple issues and /or is serious in nature and usually requires an extensive investigation</w:t>
            </w:r>
            <w:r w:rsidR="003B7FD4" w:rsidRPr="00587EA1">
              <w:rPr>
                <w:sz w:val="20"/>
                <w:szCs w:val="20"/>
              </w:rPr>
              <w:t>. M</w:t>
            </w:r>
            <w:r w:rsidRPr="00587EA1">
              <w:rPr>
                <w:sz w:val="20"/>
                <w:szCs w:val="20"/>
              </w:rPr>
              <w:t>anaged</w:t>
            </w:r>
            <w:r w:rsidR="003B7FD4" w:rsidRPr="00587EA1">
              <w:rPr>
                <w:sz w:val="20"/>
                <w:szCs w:val="20"/>
              </w:rPr>
              <w:t xml:space="preserve"> </w:t>
            </w:r>
            <w:r w:rsidRPr="00587EA1">
              <w:rPr>
                <w:sz w:val="20"/>
                <w:szCs w:val="20"/>
              </w:rPr>
              <w:t xml:space="preserve">by the PSC </w:t>
            </w:r>
            <w:r w:rsidR="003B7FD4" w:rsidRPr="00587EA1">
              <w:rPr>
                <w:sz w:val="20"/>
                <w:szCs w:val="20"/>
              </w:rPr>
              <w:t xml:space="preserve">Complaints </w:t>
            </w:r>
            <w:r w:rsidRPr="00587EA1">
              <w:rPr>
                <w:sz w:val="20"/>
                <w:szCs w:val="20"/>
              </w:rPr>
              <w:t>Coordinator</w:t>
            </w:r>
          </w:p>
        </w:tc>
        <w:tc>
          <w:tcPr>
            <w:tcW w:w="1666" w:type="pct"/>
          </w:tcPr>
          <w:p w14:paraId="3E458DAD" w14:textId="77777777" w:rsidR="00245303" w:rsidRPr="00587EA1" w:rsidRDefault="00245303" w:rsidP="00000F77">
            <w:pPr>
              <w:pStyle w:val="TableParagraph"/>
              <w:ind w:left="108" w:right="772" w:firstLine="62"/>
              <w:rPr>
                <w:sz w:val="20"/>
                <w:szCs w:val="20"/>
              </w:rPr>
            </w:pPr>
            <w:r w:rsidRPr="00587EA1">
              <w:rPr>
                <w:sz w:val="20"/>
                <w:szCs w:val="20"/>
              </w:rPr>
              <w:t>May require more than 30 working days.</w:t>
            </w:r>
          </w:p>
        </w:tc>
      </w:tr>
      <w:tr w:rsidR="00245303" w:rsidRPr="00587EA1" w14:paraId="2686A21C" w14:textId="77777777" w:rsidTr="00245303">
        <w:trPr>
          <w:trHeight w:val="1518"/>
        </w:trPr>
        <w:tc>
          <w:tcPr>
            <w:tcW w:w="1668" w:type="pct"/>
          </w:tcPr>
          <w:p w14:paraId="6E3919E6" w14:textId="77777777" w:rsidR="00245303" w:rsidRPr="00587EA1" w:rsidRDefault="00245303" w:rsidP="00000F77">
            <w:pPr>
              <w:pStyle w:val="TableParagraph"/>
              <w:spacing w:line="248" w:lineRule="exact"/>
              <w:rPr>
                <w:b/>
                <w:sz w:val="20"/>
                <w:szCs w:val="20"/>
              </w:rPr>
            </w:pPr>
            <w:r w:rsidRPr="00587EA1">
              <w:rPr>
                <w:b/>
                <w:sz w:val="20"/>
                <w:szCs w:val="20"/>
              </w:rPr>
              <w:t>Privacy</w:t>
            </w:r>
          </w:p>
          <w:p w14:paraId="2ACBAF4F" w14:textId="7EAEC6DB" w:rsidR="00C02368" w:rsidRPr="00587EA1" w:rsidRDefault="00C02368" w:rsidP="00000F77">
            <w:pPr>
              <w:pStyle w:val="TableParagraph"/>
              <w:spacing w:line="248" w:lineRule="exact"/>
              <w:rPr>
                <w:b/>
                <w:sz w:val="20"/>
                <w:szCs w:val="20"/>
              </w:rPr>
            </w:pPr>
            <w:r w:rsidRPr="00587EA1">
              <w:rPr>
                <w:b/>
                <w:sz w:val="20"/>
                <w:szCs w:val="20"/>
              </w:rPr>
              <w:t>Human Rights</w:t>
            </w:r>
          </w:p>
        </w:tc>
        <w:tc>
          <w:tcPr>
            <w:tcW w:w="1666" w:type="pct"/>
          </w:tcPr>
          <w:p w14:paraId="25F4925A" w14:textId="33EAA4C8" w:rsidR="00245303" w:rsidRPr="00587EA1" w:rsidRDefault="00245303" w:rsidP="003B7FD4">
            <w:pPr>
              <w:pStyle w:val="TableParagraph"/>
              <w:ind w:left="108" w:right="116"/>
              <w:rPr>
                <w:sz w:val="20"/>
                <w:szCs w:val="20"/>
              </w:rPr>
            </w:pPr>
            <w:r w:rsidRPr="00587EA1">
              <w:rPr>
                <w:sz w:val="20"/>
                <w:szCs w:val="20"/>
              </w:rPr>
              <w:t>A complaint by an individual about an act or practice of the PSC in relation to the individual’s personal information</w:t>
            </w:r>
            <w:r w:rsidR="00C02368" w:rsidRPr="00587EA1">
              <w:rPr>
                <w:sz w:val="20"/>
                <w:szCs w:val="20"/>
              </w:rPr>
              <w:t xml:space="preserve">, or in relation to </w:t>
            </w:r>
            <w:r w:rsidR="00A01231" w:rsidRPr="00587EA1">
              <w:rPr>
                <w:sz w:val="20"/>
                <w:szCs w:val="20"/>
              </w:rPr>
              <w:t>an act or decision</w:t>
            </w:r>
            <w:r w:rsidR="00C02368" w:rsidRPr="00587EA1">
              <w:rPr>
                <w:sz w:val="20"/>
                <w:szCs w:val="20"/>
              </w:rPr>
              <w:t xml:space="preserve"> affecting a relevant human right under the </w:t>
            </w:r>
            <w:r w:rsidR="00C02368" w:rsidRPr="00587EA1">
              <w:rPr>
                <w:i/>
                <w:sz w:val="20"/>
                <w:szCs w:val="20"/>
              </w:rPr>
              <w:t>Human Rights Act</w:t>
            </w:r>
            <w:r w:rsidRPr="00587EA1">
              <w:rPr>
                <w:sz w:val="20"/>
                <w:szCs w:val="20"/>
              </w:rPr>
              <w:t>.</w:t>
            </w:r>
            <w:r w:rsidR="003B7FD4" w:rsidRPr="00587EA1">
              <w:rPr>
                <w:sz w:val="20"/>
                <w:szCs w:val="20"/>
              </w:rPr>
              <w:t xml:space="preserve"> </w:t>
            </w:r>
            <w:r w:rsidRPr="00587EA1">
              <w:rPr>
                <w:sz w:val="20"/>
                <w:szCs w:val="20"/>
              </w:rPr>
              <w:t>Managed by the PSC</w:t>
            </w:r>
            <w:r w:rsidR="003B7FD4" w:rsidRPr="00587EA1">
              <w:rPr>
                <w:sz w:val="20"/>
                <w:szCs w:val="20"/>
              </w:rPr>
              <w:t xml:space="preserve"> Complaints</w:t>
            </w:r>
            <w:r w:rsidRPr="00587EA1">
              <w:rPr>
                <w:sz w:val="20"/>
                <w:szCs w:val="20"/>
              </w:rPr>
              <w:t xml:space="preserve"> Coordinator</w:t>
            </w:r>
          </w:p>
        </w:tc>
        <w:tc>
          <w:tcPr>
            <w:tcW w:w="1666" w:type="pct"/>
          </w:tcPr>
          <w:p w14:paraId="329F5B84" w14:textId="77777777" w:rsidR="00245303" w:rsidRPr="00587EA1" w:rsidRDefault="00245303" w:rsidP="00000F77">
            <w:pPr>
              <w:pStyle w:val="TableParagraph"/>
              <w:ind w:left="108" w:right="749"/>
              <w:rPr>
                <w:sz w:val="20"/>
                <w:szCs w:val="20"/>
              </w:rPr>
            </w:pPr>
            <w:r w:rsidRPr="00587EA1">
              <w:rPr>
                <w:sz w:val="20"/>
                <w:szCs w:val="20"/>
              </w:rPr>
              <w:t>Must be resolved within 45 working days of receipt.</w:t>
            </w:r>
          </w:p>
        </w:tc>
      </w:tr>
    </w:tbl>
    <w:p w14:paraId="400C4FBF" w14:textId="77777777" w:rsidR="008907E3" w:rsidRPr="00587EA1" w:rsidRDefault="008907E3" w:rsidP="008907E3">
      <w:pPr>
        <w:pStyle w:val="Heading2"/>
        <w:numPr>
          <w:ilvl w:val="0"/>
          <w:numId w:val="6"/>
        </w:numPr>
        <w:ind w:left="426" w:hanging="426"/>
      </w:pPr>
      <w:r w:rsidRPr="00587EA1">
        <w:t>Collection of personal information and privacy</w:t>
      </w:r>
    </w:p>
    <w:p w14:paraId="335C2BA1" w14:textId="11D37B08" w:rsidR="008907E3" w:rsidRPr="00587EA1" w:rsidRDefault="008907E3" w:rsidP="008907E3">
      <w:pPr>
        <w:pStyle w:val="BodyText"/>
        <w:spacing w:before="241"/>
        <w:rPr>
          <w:color w:val="28695B" w:themeColor="accent1" w:themeShade="80"/>
          <w:sz w:val="20"/>
          <w:szCs w:val="20"/>
          <w:u w:color="28695B" w:themeColor="accent1" w:themeShade="80"/>
        </w:rPr>
      </w:pPr>
      <w:r w:rsidRPr="00587EA1">
        <w:rPr>
          <w:sz w:val="20"/>
          <w:szCs w:val="20"/>
        </w:rPr>
        <w:t xml:space="preserve">A privacy notice is included in the </w:t>
      </w:r>
      <w:hyperlink r:id="rId14" w:anchor="complaints">
        <w:r w:rsidRPr="00587EA1">
          <w:rPr>
            <w:color w:val="28695B" w:themeColor="accent1" w:themeShade="80"/>
            <w:sz w:val="20"/>
            <w:szCs w:val="20"/>
            <w:u w:val="single" w:color="28695B" w:themeColor="accent1" w:themeShade="80"/>
          </w:rPr>
          <w:t xml:space="preserve">online </w:t>
        </w:r>
        <w:r w:rsidR="003B7FD4" w:rsidRPr="00587EA1">
          <w:rPr>
            <w:color w:val="28695B" w:themeColor="accent1" w:themeShade="80"/>
            <w:sz w:val="20"/>
            <w:szCs w:val="20"/>
            <w:u w:val="single" w:color="28695B" w:themeColor="accent1" w:themeShade="80"/>
          </w:rPr>
          <w:t>c</w:t>
        </w:r>
        <w:r w:rsidRPr="00587EA1">
          <w:rPr>
            <w:color w:val="28695B" w:themeColor="accent1" w:themeShade="80"/>
            <w:sz w:val="20"/>
            <w:szCs w:val="20"/>
            <w:u w:val="single" w:color="28695B" w:themeColor="accent1" w:themeShade="80"/>
          </w:rPr>
          <w:t xml:space="preserve">omplaints </w:t>
        </w:r>
        <w:r w:rsidR="003B7FD4" w:rsidRPr="00587EA1">
          <w:rPr>
            <w:color w:val="28695B" w:themeColor="accent1" w:themeShade="80"/>
            <w:sz w:val="20"/>
            <w:szCs w:val="20"/>
            <w:u w:val="single" w:color="28695B" w:themeColor="accent1" w:themeShade="80"/>
          </w:rPr>
          <w:t>f</w:t>
        </w:r>
        <w:r w:rsidRPr="00587EA1">
          <w:rPr>
            <w:color w:val="28695B" w:themeColor="accent1" w:themeShade="80"/>
            <w:sz w:val="20"/>
            <w:szCs w:val="20"/>
            <w:u w:val="single" w:color="28695B" w:themeColor="accent1" w:themeShade="80"/>
          </w:rPr>
          <w:t>orm</w:t>
        </w:r>
      </w:hyperlink>
      <w:r w:rsidRPr="00587EA1">
        <w:rPr>
          <w:color w:val="28695B" w:themeColor="accent1" w:themeShade="80"/>
          <w:sz w:val="20"/>
          <w:szCs w:val="20"/>
          <w:u w:val="single" w:color="28695B" w:themeColor="accent1" w:themeShade="80"/>
        </w:rPr>
        <w:t>.</w:t>
      </w:r>
    </w:p>
    <w:p w14:paraId="64ECC949" w14:textId="77777777" w:rsidR="008907E3" w:rsidRPr="00587EA1" w:rsidRDefault="008907E3" w:rsidP="008907E3">
      <w:pPr>
        <w:pStyle w:val="BodyText"/>
        <w:spacing w:before="94" w:line="252" w:lineRule="exact"/>
        <w:rPr>
          <w:sz w:val="20"/>
          <w:szCs w:val="20"/>
        </w:rPr>
      </w:pPr>
      <w:r w:rsidRPr="00587EA1">
        <w:rPr>
          <w:sz w:val="20"/>
          <w:szCs w:val="20"/>
        </w:rPr>
        <w:t>The privacy notice states that:</w:t>
      </w:r>
    </w:p>
    <w:p w14:paraId="6AF2E72F" w14:textId="77777777" w:rsidR="008907E3" w:rsidRPr="008907E3" w:rsidRDefault="008907E3" w:rsidP="008907E3">
      <w:pPr>
        <w:ind w:right="9"/>
        <w:rPr>
          <w:i/>
          <w:szCs w:val="20"/>
        </w:rPr>
      </w:pPr>
      <w:r w:rsidRPr="00587EA1">
        <w:rPr>
          <w:i/>
          <w:szCs w:val="20"/>
        </w:rPr>
        <w:t>“The Public Service Commission is collecting the information to act on your complaint</w:t>
      </w:r>
      <w:r w:rsidRPr="008907E3">
        <w:rPr>
          <w:i/>
          <w:szCs w:val="20"/>
        </w:rPr>
        <w:t xml:space="preserve"> and access will only be provided to authorised officers. Your personal information will not be disclosed, other than for the purposes of managing the complaint, to any other third party without your consent, unless required by law or for the purposes of the Information Privacy Act 2009”.</w:t>
      </w:r>
    </w:p>
    <w:p w14:paraId="0EABD158" w14:textId="77777777" w:rsidR="008907E3" w:rsidRPr="008907E3" w:rsidRDefault="008907E3" w:rsidP="008907E3">
      <w:pPr>
        <w:pStyle w:val="BodyText"/>
        <w:ind w:right="9"/>
        <w:rPr>
          <w:sz w:val="20"/>
          <w:szCs w:val="20"/>
        </w:rPr>
      </w:pPr>
      <w:r w:rsidRPr="008907E3">
        <w:rPr>
          <w:sz w:val="20"/>
          <w:szCs w:val="20"/>
        </w:rPr>
        <w:t>If a PSC staff member is collecting personal information from a complainant over the telephone, the PSC staff member must:</w:t>
      </w:r>
    </w:p>
    <w:p w14:paraId="17492427" w14:textId="77777777" w:rsidR="008907E3" w:rsidRPr="008907E3" w:rsidRDefault="008907E3" w:rsidP="008907E3">
      <w:pPr>
        <w:pStyle w:val="Bullets1"/>
        <w:ind w:left="432" w:hanging="288"/>
        <w:contextualSpacing w:val="0"/>
      </w:pPr>
      <w:r w:rsidRPr="008907E3">
        <w:t>clearly explain the privacy notice and check that the complainant has understood the privacy notice; and</w:t>
      </w:r>
    </w:p>
    <w:p w14:paraId="6BFC997F" w14:textId="77777777" w:rsidR="008907E3" w:rsidRPr="008907E3" w:rsidRDefault="008907E3" w:rsidP="008907E3">
      <w:pPr>
        <w:pStyle w:val="Bullets1"/>
        <w:ind w:left="432" w:hanging="288"/>
        <w:contextualSpacing w:val="0"/>
      </w:pPr>
      <w:r w:rsidRPr="008907E3">
        <w:t>include in the Record of Complaint that the privacy notice was provided to the complainant.</w:t>
      </w:r>
    </w:p>
    <w:p w14:paraId="1F8F2FAC" w14:textId="77777777" w:rsidR="00AD52C5" w:rsidRDefault="00AD52C5" w:rsidP="00AD52C5">
      <w:pPr>
        <w:pStyle w:val="Heading2"/>
        <w:numPr>
          <w:ilvl w:val="0"/>
          <w:numId w:val="6"/>
        </w:numPr>
        <w:ind w:left="426" w:hanging="426"/>
      </w:pPr>
      <w:r>
        <w:t>Early, informal resolution of customer</w:t>
      </w:r>
      <w:r w:rsidRPr="00AD52C5">
        <w:t xml:space="preserve"> </w:t>
      </w:r>
      <w:r>
        <w:t>complaints</w:t>
      </w:r>
    </w:p>
    <w:p w14:paraId="5324A084" w14:textId="77777777" w:rsidR="00AD52C5" w:rsidRPr="00AD52C5" w:rsidRDefault="00AD52C5" w:rsidP="00AD52C5">
      <w:pPr>
        <w:pStyle w:val="BodyText"/>
        <w:spacing w:before="244"/>
        <w:ind w:right="9"/>
        <w:rPr>
          <w:sz w:val="20"/>
          <w:szCs w:val="20"/>
        </w:rPr>
      </w:pPr>
      <w:r w:rsidRPr="00AD52C5">
        <w:rPr>
          <w:sz w:val="20"/>
          <w:szCs w:val="20"/>
        </w:rPr>
        <w:t>Informal and early resolution should be used wherever possible to resolve a customer complaint which is likely to have no risk or detriment to the customer or the PSC. Examples may include incorrectly addressed correspondence, minor delays, inaccessibility of website information.</w:t>
      </w:r>
    </w:p>
    <w:p w14:paraId="00ECCD7D" w14:textId="77777777" w:rsidR="00AD52C5" w:rsidRPr="00AD52C5" w:rsidRDefault="00AD52C5" w:rsidP="00AD52C5">
      <w:pPr>
        <w:pStyle w:val="BodyText"/>
        <w:ind w:right="9"/>
        <w:rPr>
          <w:sz w:val="20"/>
          <w:szCs w:val="20"/>
        </w:rPr>
      </w:pPr>
      <w:r w:rsidRPr="00AD52C5">
        <w:rPr>
          <w:sz w:val="20"/>
          <w:szCs w:val="20"/>
        </w:rPr>
        <w:t>PSC staff members are empowered to resolve these issues wherever possible with the support and oversight of their Executive Director or Director and as the focus is on early and informal resolution, a written response is not mandatory.</w:t>
      </w:r>
    </w:p>
    <w:p w14:paraId="219DF0D8" w14:textId="4BC0587C" w:rsidR="00AD52C5" w:rsidRPr="00AD52C5" w:rsidRDefault="00AD52C5" w:rsidP="00AD52C5">
      <w:pPr>
        <w:pStyle w:val="BodyText"/>
        <w:ind w:right="9"/>
        <w:rPr>
          <w:sz w:val="20"/>
          <w:szCs w:val="20"/>
        </w:rPr>
      </w:pPr>
      <w:r w:rsidRPr="00AD52C5">
        <w:rPr>
          <w:sz w:val="20"/>
          <w:szCs w:val="20"/>
        </w:rPr>
        <w:t>These complaints must be recorded using a Record of Complaints form and emailed to the PSC Complaints Coordinator for inclusion in the Complaints Register.</w:t>
      </w:r>
    </w:p>
    <w:p w14:paraId="3E9BD0BB" w14:textId="77777777" w:rsidR="00AD52C5" w:rsidRPr="00AD52C5" w:rsidRDefault="00AD52C5" w:rsidP="00AD52C5">
      <w:pPr>
        <w:pStyle w:val="BodyText"/>
        <w:ind w:right="9"/>
        <w:rPr>
          <w:sz w:val="20"/>
          <w:szCs w:val="20"/>
        </w:rPr>
      </w:pPr>
      <w:r w:rsidRPr="00AD52C5">
        <w:rPr>
          <w:sz w:val="20"/>
          <w:szCs w:val="20"/>
        </w:rPr>
        <w:t>If the complaint is unable to be resolved, the Executive Director/Director of the business area is to forward the complaint to the PSC Complaints Coordinator for resolution.</w:t>
      </w:r>
    </w:p>
    <w:p w14:paraId="6B73EB8E" w14:textId="2D0F5FFE" w:rsidR="00AD52C5" w:rsidRPr="00AD52C5" w:rsidRDefault="00AD52C5" w:rsidP="00AD52C5">
      <w:pPr>
        <w:pStyle w:val="BodyText"/>
        <w:ind w:right="9"/>
        <w:rPr>
          <w:sz w:val="20"/>
          <w:szCs w:val="20"/>
        </w:rPr>
      </w:pPr>
      <w:r w:rsidRPr="00AD52C5">
        <w:rPr>
          <w:sz w:val="20"/>
          <w:szCs w:val="20"/>
        </w:rPr>
        <w:t>The Executive Director or Director of the business area is to promptly refer any complaints that do not fall within the simple and no risk category to the PSC Complaints Coordinator for management.</w:t>
      </w:r>
    </w:p>
    <w:p w14:paraId="570DDEFB" w14:textId="77777777" w:rsidR="00E87D25" w:rsidRDefault="00E87D25" w:rsidP="00E87D25">
      <w:pPr>
        <w:pStyle w:val="Heading2"/>
        <w:numPr>
          <w:ilvl w:val="0"/>
          <w:numId w:val="6"/>
        </w:numPr>
        <w:ind w:left="426" w:hanging="426"/>
      </w:pPr>
      <w:r w:rsidRPr="00E87D25">
        <w:t>Role of the PSC Complaints Coordinator - coordinate the assessment, allocation, recording and reporting of customer complaints</w:t>
      </w:r>
    </w:p>
    <w:p w14:paraId="4A303A18" w14:textId="77777777" w:rsidR="00E87D25" w:rsidRPr="00B1557C" w:rsidRDefault="00E87D25" w:rsidP="00B1557C">
      <w:pPr>
        <w:pStyle w:val="BodyText"/>
        <w:spacing w:before="240"/>
        <w:ind w:right="9"/>
        <w:rPr>
          <w:sz w:val="20"/>
          <w:szCs w:val="20"/>
        </w:rPr>
      </w:pPr>
      <w:r w:rsidRPr="00B1557C">
        <w:rPr>
          <w:sz w:val="20"/>
          <w:szCs w:val="20"/>
        </w:rPr>
        <w:t>The PSC Complaints Coordinator is the delegated officer responsible for the management of customer complaints. The PSC Complaints Coordinator will:</w:t>
      </w:r>
    </w:p>
    <w:p w14:paraId="033B422B" w14:textId="77777777" w:rsidR="00E87D25" w:rsidRPr="00B1557C" w:rsidRDefault="00E87D25" w:rsidP="00BD0AAF">
      <w:pPr>
        <w:pStyle w:val="ListParagraph"/>
        <w:widowControl w:val="0"/>
        <w:numPr>
          <w:ilvl w:val="0"/>
          <w:numId w:val="13"/>
        </w:numPr>
        <w:tabs>
          <w:tab w:val="left" w:pos="1187"/>
        </w:tabs>
        <w:autoSpaceDE w:val="0"/>
        <w:autoSpaceDN w:val="0"/>
        <w:spacing w:line="240" w:lineRule="auto"/>
        <w:ind w:left="450" w:right="14"/>
        <w:contextualSpacing w:val="0"/>
        <w:jc w:val="left"/>
        <w:rPr>
          <w:szCs w:val="20"/>
        </w:rPr>
      </w:pPr>
      <w:r w:rsidRPr="00B1557C">
        <w:rPr>
          <w:szCs w:val="20"/>
        </w:rPr>
        <w:t>coordinate the management of all complaints from initial assessment to finalisation of the complaint.</w:t>
      </w:r>
    </w:p>
    <w:p w14:paraId="13660B65" w14:textId="77777777" w:rsidR="00E87D25" w:rsidRPr="00587EA1" w:rsidRDefault="00E87D25" w:rsidP="00925445">
      <w:pPr>
        <w:pStyle w:val="ListParagraph"/>
        <w:widowControl w:val="0"/>
        <w:numPr>
          <w:ilvl w:val="0"/>
          <w:numId w:val="13"/>
        </w:numPr>
        <w:tabs>
          <w:tab w:val="left" w:pos="1187"/>
        </w:tabs>
        <w:autoSpaceDE w:val="0"/>
        <w:autoSpaceDN w:val="0"/>
        <w:spacing w:before="1" w:after="80" w:line="240" w:lineRule="auto"/>
        <w:ind w:left="450" w:right="14"/>
        <w:contextualSpacing w:val="0"/>
        <w:jc w:val="left"/>
        <w:rPr>
          <w:szCs w:val="20"/>
        </w:rPr>
      </w:pPr>
      <w:r w:rsidRPr="00587EA1">
        <w:rPr>
          <w:szCs w:val="20"/>
        </w:rPr>
        <w:t>undertake an initial assessment of the complaint and consider whether the complaint may:</w:t>
      </w:r>
    </w:p>
    <w:p w14:paraId="4CCFD5C5" w14:textId="550926EB" w:rsidR="00E87D25" w:rsidRPr="00587EA1" w:rsidRDefault="00E87D25" w:rsidP="00925445">
      <w:pPr>
        <w:pStyle w:val="ListParagraph"/>
        <w:widowControl w:val="0"/>
        <w:numPr>
          <w:ilvl w:val="2"/>
          <w:numId w:val="13"/>
        </w:numPr>
        <w:autoSpaceDE w:val="0"/>
        <w:autoSpaceDN w:val="0"/>
        <w:spacing w:before="1" w:after="80" w:line="240" w:lineRule="auto"/>
        <w:ind w:left="720" w:right="14" w:hanging="270"/>
        <w:contextualSpacing w:val="0"/>
        <w:rPr>
          <w:szCs w:val="20"/>
        </w:rPr>
      </w:pPr>
      <w:proofErr w:type="gramStart"/>
      <w:r w:rsidRPr="00587EA1">
        <w:rPr>
          <w:szCs w:val="20"/>
        </w:rPr>
        <w:t>also</w:t>
      </w:r>
      <w:proofErr w:type="gramEnd"/>
      <w:r w:rsidRPr="00587EA1">
        <w:rPr>
          <w:szCs w:val="20"/>
        </w:rPr>
        <w:t xml:space="preserve"> be a Public Interest Disclosure (PID) under the </w:t>
      </w:r>
      <w:r w:rsidRPr="00587EA1">
        <w:rPr>
          <w:i/>
          <w:szCs w:val="20"/>
        </w:rPr>
        <w:t>Public Interest Disclosure Act 2010</w:t>
      </w:r>
    </w:p>
    <w:p w14:paraId="5C48BA43" w14:textId="01757C71" w:rsidR="00E87D25" w:rsidRPr="00587EA1" w:rsidRDefault="00E87D25" w:rsidP="00925445">
      <w:pPr>
        <w:pStyle w:val="ListParagraph"/>
        <w:widowControl w:val="0"/>
        <w:numPr>
          <w:ilvl w:val="2"/>
          <w:numId w:val="13"/>
        </w:numPr>
        <w:autoSpaceDE w:val="0"/>
        <w:autoSpaceDN w:val="0"/>
        <w:spacing w:before="1" w:after="80" w:line="240" w:lineRule="auto"/>
        <w:ind w:left="720" w:right="14" w:hanging="270"/>
        <w:contextualSpacing w:val="0"/>
        <w:rPr>
          <w:szCs w:val="20"/>
        </w:rPr>
      </w:pPr>
      <w:r w:rsidRPr="00587EA1">
        <w:rPr>
          <w:i/>
          <w:szCs w:val="20"/>
        </w:rPr>
        <w:t xml:space="preserve"> </w:t>
      </w:r>
      <w:r w:rsidRPr="00587EA1">
        <w:rPr>
          <w:szCs w:val="20"/>
        </w:rPr>
        <w:t xml:space="preserve">also include an allegation of 'corrupt conduct’ under the </w:t>
      </w:r>
      <w:r w:rsidRPr="00587EA1">
        <w:rPr>
          <w:i/>
          <w:szCs w:val="20"/>
        </w:rPr>
        <w:t xml:space="preserve">Crime and Corruption Act 2001 </w:t>
      </w:r>
      <w:r w:rsidRPr="00587EA1">
        <w:rPr>
          <w:szCs w:val="20"/>
        </w:rPr>
        <w:t>(CC</w:t>
      </w:r>
      <w:r w:rsidR="00522831" w:rsidRPr="00587EA1">
        <w:rPr>
          <w:spacing w:val="-12"/>
          <w:szCs w:val="20"/>
        </w:rPr>
        <w:t> </w:t>
      </w:r>
      <w:r w:rsidRPr="00587EA1">
        <w:rPr>
          <w:szCs w:val="20"/>
        </w:rPr>
        <w:t>Act)</w:t>
      </w:r>
    </w:p>
    <w:p w14:paraId="6D1E720E" w14:textId="77777777" w:rsidR="00E87D25" w:rsidRPr="00587EA1" w:rsidRDefault="00E87D25" w:rsidP="00925445">
      <w:pPr>
        <w:pStyle w:val="ListParagraph"/>
        <w:widowControl w:val="0"/>
        <w:numPr>
          <w:ilvl w:val="2"/>
          <w:numId w:val="13"/>
        </w:numPr>
        <w:autoSpaceDE w:val="0"/>
        <w:autoSpaceDN w:val="0"/>
        <w:spacing w:before="1" w:after="80" w:line="240" w:lineRule="auto"/>
        <w:ind w:left="720" w:right="14" w:hanging="270"/>
        <w:contextualSpacing w:val="0"/>
        <w:rPr>
          <w:szCs w:val="20"/>
        </w:rPr>
      </w:pPr>
      <w:r w:rsidRPr="00587EA1">
        <w:rPr>
          <w:szCs w:val="20"/>
        </w:rPr>
        <w:t>potentially include a breach of human rights.</w:t>
      </w:r>
    </w:p>
    <w:p w14:paraId="440A7B7F" w14:textId="77777777" w:rsidR="00E87D25" w:rsidRPr="00587EA1" w:rsidRDefault="00E87D25" w:rsidP="00925445">
      <w:pPr>
        <w:pStyle w:val="ListParagraph"/>
        <w:widowControl w:val="0"/>
        <w:numPr>
          <w:ilvl w:val="0"/>
          <w:numId w:val="13"/>
        </w:numPr>
        <w:tabs>
          <w:tab w:val="left" w:pos="1187"/>
        </w:tabs>
        <w:autoSpaceDE w:val="0"/>
        <w:autoSpaceDN w:val="0"/>
        <w:spacing w:after="80" w:line="240" w:lineRule="auto"/>
        <w:ind w:left="450" w:right="14"/>
        <w:contextualSpacing w:val="0"/>
        <w:jc w:val="left"/>
        <w:rPr>
          <w:szCs w:val="20"/>
        </w:rPr>
      </w:pPr>
      <w:r w:rsidRPr="00587EA1">
        <w:rPr>
          <w:szCs w:val="20"/>
        </w:rPr>
        <w:t>manage any PID or allegation of corrupt conduct in accordance with the respective policy and procedures.</w:t>
      </w:r>
    </w:p>
    <w:p w14:paraId="61308D14" w14:textId="77777777" w:rsidR="00E87D25" w:rsidRPr="00B1557C" w:rsidRDefault="00E87D25" w:rsidP="00925445">
      <w:pPr>
        <w:pStyle w:val="ListParagraph"/>
        <w:widowControl w:val="0"/>
        <w:numPr>
          <w:ilvl w:val="0"/>
          <w:numId w:val="13"/>
        </w:numPr>
        <w:tabs>
          <w:tab w:val="left" w:pos="1187"/>
        </w:tabs>
        <w:autoSpaceDE w:val="0"/>
        <w:autoSpaceDN w:val="0"/>
        <w:spacing w:after="80" w:line="240" w:lineRule="auto"/>
        <w:ind w:left="450" w:right="14"/>
        <w:contextualSpacing w:val="0"/>
        <w:jc w:val="left"/>
        <w:rPr>
          <w:szCs w:val="20"/>
        </w:rPr>
      </w:pPr>
      <w:r w:rsidRPr="00587EA1">
        <w:rPr>
          <w:szCs w:val="20"/>
        </w:rPr>
        <w:t>acknowledge receipt and provide advice about the complaint</w:t>
      </w:r>
      <w:r w:rsidRPr="00B1557C">
        <w:rPr>
          <w:szCs w:val="20"/>
        </w:rPr>
        <w:t xml:space="preserve"> process and timeframes to the complainant.</w:t>
      </w:r>
    </w:p>
    <w:p w14:paraId="1EA11F38" w14:textId="77777777" w:rsidR="00E87D25" w:rsidRPr="00B1557C" w:rsidRDefault="00E87D25" w:rsidP="00925445">
      <w:pPr>
        <w:pStyle w:val="ListParagraph"/>
        <w:widowControl w:val="0"/>
        <w:numPr>
          <w:ilvl w:val="0"/>
          <w:numId w:val="13"/>
        </w:numPr>
        <w:tabs>
          <w:tab w:val="left" w:pos="1187"/>
        </w:tabs>
        <w:autoSpaceDE w:val="0"/>
        <w:autoSpaceDN w:val="0"/>
        <w:spacing w:after="80" w:line="252" w:lineRule="exact"/>
        <w:ind w:left="450" w:right="14" w:hanging="359"/>
        <w:contextualSpacing w:val="0"/>
        <w:jc w:val="left"/>
        <w:rPr>
          <w:szCs w:val="20"/>
        </w:rPr>
      </w:pPr>
      <w:r w:rsidRPr="00B1557C">
        <w:rPr>
          <w:szCs w:val="20"/>
        </w:rPr>
        <w:t>allocate all or part of the complaint to an appropriately skilled officer for</w:t>
      </w:r>
      <w:r w:rsidRPr="00B1557C">
        <w:rPr>
          <w:spacing w:val="-17"/>
          <w:szCs w:val="20"/>
        </w:rPr>
        <w:t xml:space="preserve"> </w:t>
      </w:r>
      <w:r w:rsidRPr="00B1557C">
        <w:rPr>
          <w:szCs w:val="20"/>
        </w:rPr>
        <w:t>resolution.</w:t>
      </w:r>
    </w:p>
    <w:p w14:paraId="263770DA" w14:textId="77777777" w:rsidR="00E87D25" w:rsidRPr="00B1557C" w:rsidRDefault="00E87D25" w:rsidP="00925445">
      <w:pPr>
        <w:pStyle w:val="ListParagraph"/>
        <w:widowControl w:val="0"/>
        <w:numPr>
          <w:ilvl w:val="0"/>
          <w:numId w:val="13"/>
        </w:numPr>
        <w:tabs>
          <w:tab w:val="left" w:pos="1187"/>
        </w:tabs>
        <w:autoSpaceDE w:val="0"/>
        <w:autoSpaceDN w:val="0"/>
        <w:spacing w:after="80" w:line="240" w:lineRule="auto"/>
        <w:ind w:left="450" w:right="14"/>
        <w:contextualSpacing w:val="0"/>
        <w:jc w:val="left"/>
        <w:rPr>
          <w:szCs w:val="20"/>
        </w:rPr>
      </w:pPr>
      <w:r w:rsidRPr="00B1557C">
        <w:rPr>
          <w:szCs w:val="20"/>
        </w:rPr>
        <w:t>ensure all records are kept confidential and secured and complaints are appropriately recorded in the Complaints Register.</w:t>
      </w:r>
    </w:p>
    <w:p w14:paraId="37F115F1" w14:textId="77777777" w:rsidR="00E87D25" w:rsidRPr="00B1557C" w:rsidRDefault="00E87D25" w:rsidP="00522831">
      <w:pPr>
        <w:pStyle w:val="ListParagraph"/>
        <w:widowControl w:val="0"/>
        <w:numPr>
          <w:ilvl w:val="0"/>
          <w:numId w:val="13"/>
        </w:numPr>
        <w:tabs>
          <w:tab w:val="left" w:pos="1187"/>
        </w:tabs>
        <w:autoSpaceDE w:val="0"/>
        <w:autoSpaceDN w:val="0"/>
        <w:spacing w:after="0" w:line="240" w:lineRule="auto"/>
        <w:ind w:left="450" w:right="9" w:hanging="359"/>
        <w:contextualSpacing w:val="0"/>
        <w:jc w:val="left"/>
        <w:rPr>
          <w:szCs w:val="20"/>
        </w:rPr>
      </w:pPr>
      <w:r w:rsidRPr="00B1557C">
        <w:rPr>
          <w:szCs w:val="20"/>
        </w:rPr>
        <w:t>manage all reporting</w:t>
      </w:r>
      <w:r w:rsidRPr="00B1557C">
        <w:rPr>
          <w:spacing w:val="-4"/>
          <w:szCs w:val="20"/>
        </w:rPr>
        <w:t xml:space="preserve"> </w:t>
      </w:r>
      <w:r w:rsidRPr="00B1557C">
        <w:rPr>
          <w:szCs w:val="20"/>
        </w:rPr>
        <w:t>requirements.</w:t>
      </w:r>
    </w:p>
    <w:p w14:paraId="6061BEDB" w14:textId="77777777" w:rsidR="00056535" w:rsidRPr="00056535" w:rsidRDefault="00056535" w:rsidP="00056535">
      <w:pPr>
        <w:pStyle w:val="Heading2"/>
        <w:numPr>
          <w:ilvl w:val="0"/>
          <w:numId w:val="6"/>
        </w:numPr>
        <w:ind w:left="426" w:hanging="426"/>
      </w:pPr>
      <w:r w:rsidRPr="00056535">
        <w:t>Managing a customer complaint</w:t>
      </w:r>
    </w:p>
    <w:p w14:paraId="20E3BD3D" w14:textId="77777777" w:rsidR="00056535" w:rsidRPr="00056535" w:rsidRDefault="00056535" w:rsidP="00056535">
      <w:pPr>
        <w:pStyle w:val="Numberedlist2"/>
        <w:ind w:left="900" w:hanging="450"/>
        <w:rPr>
          <w:color w:val="007A6D"/>
          <w:sz w:val="22"/>
          <w:szCs w:val="22"/>
        </w:rPr>
      </w:pPr>
      <w:r w:rsidRPr="00056535">
        <w:rPr>
          <w:color w:val="007A6D"/>
          <w:sz w:val="22"/>
          <w:szCs w:val="22"/>
        </w:rPr>
        <w:t>Complaint handling process</w:t>
      </w:r>
    </w:p>
    <w:p w14:paraId="5BDF934B" w14:textId="41E27009" w:rsidR="00056535" w:rsidRPr="00056535" w:rsidRDefault="00056535" w:rsidP="006E29A2">
      <w:pPr>
        <w:pStyle w:val="BodyText"/>
        <w:spacing w:before="73"/>
        <w:ind w:left="450" w:right="9"/>
        <w:rPr>
          <w:sz w:val="20"/>
          <w:szCs w:val="20"/>
        </w:rPr>
      </w:pPr>
      <w:r w:rsidRPr="00056535">
        <w:rPr>
          <w:sz w:val="20"/>
          <w:szCs w:val="20"/>
        </w:rPr>
        <w:t xml:space="preserve">How a complaint is managed will depend on the complexity and nature of the complaint. In the first instance the officer handling the complaint should ensure they understand the scope of the complainant’s concerns (this could be discussed by telephone if clarification is required) and desired </w:t>
      </w:r>
      <w:proofErr w:type="gramStart"/>
      <w:r w:rsidRPr="00056535">
        <w:rPr>
          <w:sz w:val="20"/>
          <w:szCs w:val="20"/>
        </w:rPr>
        <w:t>outcome, and</w:t>
      </w:r>
      <w:proofErr w:type="gramEnd"/>
      <w:r w:rsidRPr="00056535">
        <w:rPr>
          <w:sz w:val="20"/>
          <w:szCs w:val="20"/>
        </w:rPr>
        <w:t xml:space="preserve"> try </w:t>
      </w:r>
      <w:r w:rsidR="00C02368">
        <w:rPr>
          <w:sz w:val="20"/>
          <w:szCs w:val="20"/>
        </w:rPr>
        <w:t>to</w:t>
      </w:r>
      <w:r w:rsidRPr="00056535">
        <w:rPr>
          <w:sz w:val="20"/>
          <w:szCs w:val="20"/>
        </w:rPr>
        <w:t xml:space="preserve"> meet any reasonable requests that would resolve the matter.</w:t>
      </w:r>
    </w:p>
    <w:p w14:paraId="2B227EB0" w14:textId="77777777" w:rsidR="00056535" w:rsidRPr="006E29A2" w:rsidRDefault="00056535" w:rsidP="006E29A2">
      <w:pPr>
        <w:pStyle w:val="Numberedlist2"/>
        <w:ind w:left="900" w:hanging="450"/>
        <w:rPr>
          <w:color w:val="007A6D"/>
          <w:sz w:val="22"/>
          <w:szCs w:val="22"/>
        </w:rPr>
      </w:pPr>
      <w:r w:rsidRPr="006E29A2">
        <w:rPr>
          <w:color w:val="007A6D"/>
          <w:sz w:val="22"/>
          <w:szCs w:val="22"/>
        </w:rPr>
        <w:t>Investigations</w:t>
      </w:r>
    </w:p>
    <w:p w14:paraId="6562E2A1" w14:textId="77777777" w:rsidR="00056535" w:rsidRPr="006E29A2" w:rsidRDefault="00056535" w:rsidP="006E29A2">
      <w:pPr>
        <w:pStyle w:val="BodyText"/>
        <w:spacing w:before="73"/>
        <w:ind w:left="450" w:right="9"/>
        <w:rPr>
          <w:sz w:val="20"/>
          <w:szCs w:val="20"/>
        </w:rPr>
      </w:pPr>
      <w:r w:rsidRPr="006E29A2">
        <w:rPr>
          <w:sz w:val="20"/>
          <w:szCs w:val="20"/>
        </w:rPr>
        <w:t>An investigation may need to be conducted to resolve the customer complaint. The level of formality of the investigation should be proportionate to the nature of the complaint. Investigating a complaint may include:</w:t>
      </w:r>
    </w:p>
    <w:p w14:paraId="2EDF63A7" w14:textId="77777777" w:rsidR="00056535" w:rsidRPr="006E29A2" w:rsidRDefault="00056535" w:rsidP="00A0502C">
      <w:pPr>
        <w:pStyle w:val="Bullets1"/>
        <w:ind w:hanging="288"/>
        <w:contextualSpacing w:val="0"/>
      </w:pPr>
      <w:r>
        <w:t>clarifying the details provided in a</w:t>
      </w:r>
      <w:r w:rsidRPr="006E29A2">
        <w:t xml:space="preserve"> </w:t>
      </w:r>
      <w:r>
        <w:t>complaint</w:t>
      </w:r>
    </w:p>
    <w:p w14:paraId="4AFED39C" w14:textId="77777777" w:rsidR="00056535" w:rsidRPr="006E29A2" w:rsidRDefault="00056535" w:rsidP="00A0502C">
      <w:pPr>
        <w:pStyle w:val="Bullets1"/>
        <w:ind w:hanging="288"/>
        <w:contextualSpacing w:val="0"/>
      </w:pPr>
      <w:r>
        <w:t>identifying actions already taken to resolve the</w:t>
      </w:r>
      <w:r w:rsidRPr="006E29A2">
        <w:t xml:space="preserve"> </w:t>
      </w:r>
      <w:r>
        <w:t>issue</w:t>
      </w:r>
    </w:p>
    <w:p w14:paraId="2D08EEA0" w14:textId="77777777" w:rsidR="00056535" w:rsidRPr="006E29A2" w:rsidRDefault="00056535" w:rsidP="00A0502C">
      <w:pPr>
        <w:pStyle w:val="Bullets1"/>
        <w:ind w:hanging="288"/>
        <w:contextualSpacing w:val="0"/>
      </w:pPr>
      <w:r>
        <w:t>gathering and analysing information from file notes, correspondence and other</w:t>
      </w:r>
      <w:r w:rsidRPr="006E29A2">
        <w:t xml:space="preserve"> </w:t>
      </w:r>
      <w:r>
        <w:t>sources</w:t>
      </w:r>
    </w:p>
    <w:p w14:paraId="722AB698" w14:textId="18A52FDE" w:rsidR="00056535" w:rsidRPr="00587EA1" w:rsidRDefault="00056535" w:rsidP="00A0502C">
      <w:pPr>
        <w:pStyle w:val="Bullets1"/>
        <w:ind w:hanging="288"/>
        <w:contextualSpacing w:val="0"/>
      </w:pPr>
      <w:r>
        <w:t xml:space="preserve">interviewing </w:t>
      </w:r>
      <w:r w:rsidRPr="00587EA1">
        <w:t>complainants, employees and/or other individuals involved in the complaint reviewing documentation submitted by the complainant, previous administrative decisions/actions and previous complaints about the same issue.</w:t>
      </w:r>
    </w:p>
    <w:p w14:paraId="6BABCEA4" w14:textId="36C3FE60" w:rsidR="00056535" w:rsidRPr="00587EA1" w:rsidRDefault="00056535" w:rsidP="00A0502C">
      <w:pPr>
        <w:pStyle w:val="BodyText"/>
        <w:spacing w:before="160"/>
        <w:ind w:left="450" w:right="742"/>
      </w:pPr>
      <w:r w:rsidRPr="00587EA1">
        <w:rPr>
          <w:sz w:val="20"/>
          <w:szCs w:val="20"/>
        </w:rPr>
        <w:t xml:space="preserve">The investigation may be done internally or </w:t>
      </w:r>
      <w:r w:rsidR="003B7FD4" w:rsidRPr="00587EA1">
        <w:rPr>
          <w:sz w:val="20"/>
          <w:szCs w:val="20"/>
        </w:rPr>
        <w:t>by</w:t>
      </w:r>
      <w:r w:rsidRPr="00587EA1">
        <w:rPr>
          <w:sz w:val="20"/>
          <w:szCs w:val="20"/>
        </w:rPr>
        <w:t xml:space="preserve"> an external investigator </w:t>
      </w:r>
      <w:r w:rsidR="003B7FD4" w:rsidRPr="00587EA1">
        <w:rPr>
          <w:sz w:val="20"/>
          <w:szCs w:val="20"/>
        </w:rPr>
        <w:t>engaged through</w:t>
      </w:r>
      <w:r w:rsidRPr="00587EA1">
        <w:rPr>
          <w:sz w:val="20"/>
          <w:szCs w:val="20"/>
        </w:rPr>
        <w:t xml:space="preserve"> the Government’s standing offer arrangement</w:t>
      </w:r>
      <w:r w:rsidRPr="00587EA1">
        <w:t>.</w:t>
      </w:r>
    </w:p>
    <w:p w14:paraId="3923594C" w14:textId="77777777" w:rsidR="00056535" w:rsidRPr="00587EA1" w:rsidRDefault="00056535" w:rsidP="00A0502C">
      <w:pPr>
        <w:pStyle w:val="Numberedlist2"/>
        <w:ind w:left="900" w:hanging="450"/>
        <w:rPr>
          <w:color w:val="007A6D"/>
          <w:sz w:val="22"/>
          <w:szCs w:val="22"/>
        </w:rPr>
      </w:pPr>
      <w:r w:rsidRPr="00587EA1">
        <w:rPr>
          <w:color w:val="007A6D"/>
          <w:sz w:val="22"/>
          <w:szCs w:val="22"/>
        </w:rPr>
        <w:t>Procedural fairness</w:t>
      </w:r>
    </w:p>
    <w:p w14:paraId="1C258BDB" w14:textId="77777777" w:rsidR="00056535" w:rsidRPr="00587EA1" w:rsidRDefault="00056535" w:rsidP="005F72A8">
      <w:pPr>
        <w:pStyle w:val="BodyText"/>
        <w:spacing w:before="73"/>
        <w:ind w:left="450" w:right="9"/>
        <w:rPr>
          <w:sz w:val="20"/>
          <w:szCs w:val="20"/>
        </w:rPr>
      </w:pPr>
      <w:r w:rsidRPr="00587EA1">
        <w:rPr>
          <w:sz w:val="20"/>
          <w:szCs w:val="20"/>
        </w:rPr>
        <w:t>The principles of procedural fairness must be followed during an investigation. Procedural fairness requires the following two rules to be observed:</w:t>
      </w:r>
    </w:p>
    <w:p w14:paraId="677322D4" w14:textId="77777777" w:rsidR="00056535" w:rsidRPr="00587EA1" w:rsidRDefault="00056535" w:rsidP="005F72A8">
      <w:pPr>
        <w:pStyle w:val="Bullets1"/>
        <w:ind w:hanging="288"/>
        <w:contextualSpacing w:val="0"/>
      </w:pPr>
      <w:r w:rsidRPr="00587EA1">
        <w:t xml:space="preserve">the hearing rule, which states that a person or body deciding a </w:t>
      </w:r>
      <w:proofErr w:type="gramStart"/>
      <w:r w:rsidRPr="00587EA1">
        <w:t>particular matter</w:t>
      </w:r>
      <w:proofErr w:type="gramEnd"/>
      <w:r w:rsidRPr="00587EA1">
        <w:t xml:space="preserve"> must ensure the affected person knows the case against them and has the opportunity to present their case before any decision is made (i.e. if it appears possible that an adverse comment or finding may be made against a PSC employee)</w:t>
      </w:r>
    </w:p>
    <w:p w14:paraId="470C09CA" w14:textId="77777777" w:rsidR="00056535" w:rsidRPr="00587EA1" w:rsidRDefault="00056535" w:rsidP="005F72A8">
      <w:pPr>
        <w:pStyle w:val="Bullets1"/>
        <w:ind w:hanging="288"/>
        <w:contextualSpacing w:val="0"/>
      </w:pPr>
      <w:r w:rsidRPr="00587EA1">
        <w:t>the rule against bias, which states that a decision-maker (including an investigation officer), should have no personal interest in the matter to be decided, have no bias as to the outcome and act in good faith throughout the process. Care should also be exercised to exclude perceived bias from the process.</w:t>
      </w:r>
    </w:p>
    <w:p w14:paraId="33E05E01" w14:textId="77777777" w:rsidR="00056535" w:rsidRPr="005F72A8" w:rsidRDefault="00056535" w:rsidP="005F72A8">
      <w:pPr>
        <w:pStyle w:val="BodyText"/>
        <w:spacing w:before="73"/>
        <w:ind w:left="450" w:right="9"/>
        <w:rPr>
          <w:sz w:val="20"/>
          <w:szCs w:val="20"/>
        </w:rPr>
      </w:pPr>
      <w:r w:rsidRPr="005F72A8">
        <w:rPr>
          <w:sz w:val="20"/>
          <w:szCs w:val="20"/>
        </w:rPr>
        <w:t>The investigation process must be objective, reasonable and conducted in good faith. Decisions must be made on the weight of evidence and on the balance of probabilities.</w:t>
      </w:r>
    </w:p>
    <w:p w14:paraId="41831B1D" w14:textId="77777777" w:rsidR="00056535" w:rsidRPr="00403D68" w:rsidRDefault="00056535" w:rsidP="00403D68">
      <w:pPr>
        <w:pStyle w:val="Numberedlist2"/>
        <w:ind w:left="900" w:hanging="450"/>
        <w:rPr>
          <w:color w:val="007A6D"/>
          <w:sz w:val="22"/>
          <w:szCs w:val="22"/>
        </w:rPr>
      </w:pPr>
      <w:r w:rsidRPr="00403D68">
        <w:rPr>
          <w:color w:val="007A6D"/>
          <w:sz w:val="22"/>
          <w:szCs w:val="22"/>
        </w:rPr>
        <w:t>Outcome of an investigation or other complaint handling process</w:t>
      </w:r>
    </w:p>
    <w:p w14:paraId="5DB3FDB4" w14:textId="26F0DE2A" w:rsidR="00056535" w:rsidRPr="00E05E59" w:rsidRDefault="00056535" w:rsidP="00E05E59">
      <w:pPr>
        <w:pStyle w:val="BodyText"/>
        <w:spacing w:before="73"/>
        <w:ind w:left="450" w:right="9"/>
        <w:rPr>
          <w:sz w:val="20"/>
          <w:szCs w:val="20"/>
        </w:rPr>
      </w:pPr>
      <w:r w:rsidRPr="00E05E59">
        <w:rPr>
          <w:sz w:val="20"/>
          <w:szCs w:val="20"/>
        </w:rPr>
        <w:t>At the conclusion of the investigation or other complaint handling process, (excluding early and informal resolution of complaints) the officer handling the complaint will provide the PSC Complaints Coordinator with a written report, detailing the findings and making recommendations regarding appropriate action and/or system improvements, as appropriate. Outcomes may include, but are not limited to:</w:t>
      </w:r>
    </w:p>
    <w:p w14:paraId="5D18B7E2" w14:textId="77777777" w:rsidR="00056535" w:rsidRPr="00E05E59" w:rsidRDefault="00056535" w:rsidP="00E05E59">
      <w:pPr>
        <w:pStyle w:val="Bullets1"/>
        <w:ind w:hanging="288"/>
        <w:contextualSpacing w:val="0"/>
      </w:pPr>
      <w:r w:rsidRPr="00E05E59">
        <w:t>amending a decision</w:t>
      </w:r>
    </w:p>
    <w:p w14:paraId="18533C9C" w14:textId="77777777" w:rsidR="00056535" w:rsidRPr="00E05E59" w:rsidRDefault="00056535" w:rsidP="00E05E59">
      <w:pPr>
        <w:pStyle w:val="Bullets1"/>
        <w:ind w:hanging="288"/>
        <w:contextualSpacing w:val="0"/>
      </w:pPr>
      <w:r w:rsidRPr="00E05E59">
        <w:t>a written/verbal apology</w:t>
      </w:r>
    </w:p>
    <w:p w14:paraId="4C48E88A" w14:textId="77777777" w:rsidR="00056535" w:rsidRPr="00E05E59" w:rsidRDefault="00056535" w:rsidP="00E05E59">
      <w:pPr>
        <w:pStyle w:val="Bullets1"/>
        <w:ind w:hanging="288"/>
        <w:contextualSpacing w:val="0"/>
      </w:pPr>
      <w:r w:rsidRPr="00E05E59">
        <w:t>an explanation</w:t>
      </w:r>
    </w:p>
    <w:p w14:paraId="240DD4FE" w14:textId="77777777" w:rsidR="00056535" w:rsidRPr="00E05E59" w:rsidRDefault="00056535" w:rsidP="00E05E59">
      <w:pPr>
        <w:pStyle w:val="Bullets1"/>
        <w:ind w:hanging="288"/>
        <w:contextualSpacing w:val="0"/>
      </w:pPr>
      <w:r w:rsidRPr="00E05E59">
        <w:t>changes to a service provided by the PSC</w:t>
      </w:r>
    </w:p>
    <w:p w14:paraId="41B0EC77" w14:textId="77777777" w:rsidR="00056535" w:rsidRPr="00E05E59" w:rsidRDefault="00056535" w:rsidP="00E05E59">
      <w:pPr>
        <w:pStyle w:val="Bullets1"/>
        <w:ind w:hanging="288"/>
        <w:contextualSpacing w:val="0"/>
      </w:pPr>
      <w:r w:rsidRPr="00E05E59">
        <w:t>a review of policies/procedures and changes to those policies/procedures</w:t>
      </w:r>
    </w:p>
    <w:p w14:paraId="3B6C630E" w14:textId="77777777" w:rsidR="00056535" w:rsidRPr="00E05E59" w:rsidRDefault="00056535" w:rsidP="00E05E59">
      <w:pPr>
        <w:pStyle w:val="Bullets1"/>
        <w:ind w:hanging="288"/>
        <w:contextualSpacing w:val="0"/>
      </w:pPr>
      <w:r w:rsidRPr="00E05E59">
        <w:t>staff training</w:t>
      </w:r>
    </w:p>
    <w:p w14:paraId="4820D10C" w14:textId="77777777" w:rsidR="00056535" w:rsidRPr="00E05E59" w:rsidRDefault="00056535" w:rsidP="00E05E59">
      <w:pPr>
        <w:pStyle w:val="Bullets1"/>
        <w:ind w:hanging="288"/>
        <w:contextualSpacing w:val="0"/>
      </w:pPr>
      <w:r w:rsidRPr="00E05E59">
        <w:t>management or disciplinary action.</w:t>
      </w:r>
    </w:p>
    <w:p w14:paraId="69E1DD41" w14:textId="77777777" w:rsidR="00056535" w:rsidRPr="008F7911" w:rsidRDefault="00056535" w:rsidP="008F7911">
      <w:pPr>
        <w:pStyle w:val="BodyText"/>
        <w:spacing w:before="73"/>
        <w:ind w:left="450" w:right="9"/>
        <w:rPr>
          <w:sz w:val="20"/>
          <w:szCs w:val="20"/>
        </w:rPr>
      </w:pPr>
      <w:r w:rsidRPr="008F7911">
        <w:rPr>
          <w:sz w:val="20"/>
          <w:szCs w:val="20"/>
        </w:rPr>
        <w:t>In some circumstances, no further action on a complaint may be recommended. The rationale for this course of action may include:</w:t>
      </w:r>
    </w:p>
    <w:p w14:paraId="14DA55AF" w14:textId="77777777" w:rsidR="00056535" w:rsidRPr="008F7911" w:rsidRDefault="00056535" w:rsidP="008F7911">
      <w:pPr>
        <w:pStyle w:val="Bullets1"/>
        <w:ind w:hanging="288"/>
        <w:contextualSpacing w:val="0"/>
      </w:pPr>
      <w:r w:rsidRPr="008F7911">
        <w:t>the matter has been investigated by the PSC and it is considered that all action to address the original complaint has been satisfactorily completed</w:t>
      </w:r>
    </w:p>
    <w:p w14:paraId="1715CC7B" w14:textId="77777777" w:rsidR="00056535" w:rsidRPr="008F7911" w:rsidRDefault="00056535" w:rsidP="008F7911">
      <w:pPr>
        <w:pStyle w:val="Bullets1"/>
        <w:ind w:hanging="288"/>
        <w:contextualSpacing w:val="0"/>
      </w:pPr>
      <w:r w:rsidRPr="008F7911">
        <w:t>the matter is currently (or previously) being adequately managed by an external agency, court or tribunal</w:t>
      </w:r>
    </w:p>
    <w:p w14:paraId="3A523D1C" w14:textId="77777777" w:rsidR="00056535" w:rsidRPr="008F7911" w:rsidRDefault="00056535" w:rsidP="008F7911">
      <w:pPr>
        <w:pStyle w:val="Bullets1"/>
        <w:ind w:hanging="288"/>
        <w:contextualSpacing w:val="0"/>
      </w:pPr>
      <w:r w:rsidRPr="008F7911">
        <w:t>after assessment, the complaint is determined to be frivolous or vexatious.</w:t>
      </w:r>
    </w:p>
    <w:p w14:paraId="7FFF3E60" w14:textId="77777777" w:rsidR="00056535" w:rsidRPr="001F13FB" w:rsidRDefault="00056535" w:rsidP="001F13FB">
      <w:pPr>
        <w:pStyle w:val="Numberedlist2"/>
        <w:ind w:left="900" w:hanging="450"/>
        <w:rPr>
          <w:color w:val="007A6D"/>
          <w:sz w:val="22"/>
          <w:szCs w:val="22"/>
        </w:rPr>
      </w:pPr>
      <w:r w:rsidRPr="001F13FB">
        <w:rPr>
          <w:color w:val="007A6D"/>
          <w:sz w:val="22"/>
          <w:szCs w:val="22"/>
        </w:rPr>
        <w:t>Decision on the complaint</w:t>
      </w:r>
    </w:p>
    <w:p w14:paraId="7E08D598" w14:textId="36142A2B" w:rsidR="00056535" w:rsidRPr="00587EA1" w:rsidRDefault="00056535" w:rsidP="001F13FB">
      <w:pPr>
        <w:pStyle w:val="BodyText"/>
        <w:spacing w:before="73"/>
        <w:ind w:left="450" w:right="9"/>
        <w:rPr>
          <w:sz w:val="20"/>
          <w:szCs w:val="20"/>
        </w:rPr>
      </w:pPr>
      <w:r w:rsidRPr="001F13FB">
        <w:rPr>
          <w:sz w:val="20"/>
          <w:szCs w:val="20"/>
        </w:rPr>
        <w:t xml:space="preserve">All complaints other than simple low risk point of service complaints require a written response. The written response will </w:t>
      </w:r>
      <w:proofErr w:type="gramStart"/>
      <w:r w:rsidRPr="001F13FB">
        <w:rPr>
          <w:sz w:val="20"/>
          <w:szCs w:val="20"/>
        </w:rPr>
        <w:t>take into account</w:t>
      </w:r>
      <w:proofErr w:type="gramEnd"/>
      <w:r w:rsidRPr="001F13FB">
        <w:rPr>
          <w:sz w:val="20"/>
          <w:szCs w:val="20"/>
        </w:rPr>
        <w:t xml:space="preserve"> the level of complexity and risk to the client or the PSC and outline the steps taken, the key findings and/or recommendations made concerning the complaint</w:t>
      </w:r>
      <w:r w:rsidRPr="00587EA1">
        <w:rPr>
          <w:sz w:val="20"/>
          <w:szCs w:val="20"/>
        </w:rPr>
        <w:t>. The response is to include information about the option of an internal review. Written responses must be approved by the PSC Complaints Coordinator or a</w:t>
      </w:r>
      <w:r w:rsidR="00157B31" w:rsidRPr="00587EA1">
        <w:rPr>
          <w:sz w:val="20"/>
          <w:szCs w:val="20"/>
        </w:rPr>
        <w:t>nother delegated</w:t>
      </w:r>
      <w:r w:rsidRPr="00587EA1">
        <w:rPr>
          <w:sz w:val="20"/>
          <w:szCs w:val="20"/>
        </w:rPr>
        <w:t xml:space="preserve"> </w:t>
      </w:r>
      <w:r w:rsidR="003B7FD4" w:rsidRPr="00587EA1">
        <w:rPr>
          <w:sz w:val="20"/>
          <w:szCs w:val="20"/>
        </w:rPr>
        <w:t>officer</w:t>
      </w:r>
      <w:r w:rsidRPr="00587EA1">
        <w:rPr>
          <w:sz w:val="20"/>
          <w:szCs w:val="20"/>
        </w:rPr>
        <w:t xml:space="preserve"> before forwarding to the complainant.</w:t>
      </w:r>
    </w:p>
    <w:p w14:paraId="33F717A3" w14:textId="77777777" w:rsidR="00056535" w:rsidRPr="00587EA1" w:rsidRDefault="00056535" w:rsidP="001F13FB">
      <w:pPr>
        <w:pStyle w:val="Numberedlist2"/>
        <w:ind w:left="900" w:hanging="450"/>
        <w:rPr>
          <w:color w:val="007A6D"/>
          <w:sz w:val="22"/>
          <w:szCs w:val="22"/>
        </w:rPr>
      </w:pPr>
      <w:r w:rsidRPr="00587EA1">
        <w:rPr>
          <w:color w:val="007A6D"/>
          <w:sz w:val="22"/>
          <w:szCs w:val="22"/>
        </w:rPr>
        <w:t>Internal and external review</w:t>
      </w:r>
    </w:p>
    <w:p w14:paraId="2952A5F4" w14:textId="77777777" w:rsidR="00056535" w:rsidRPr="00587EA1" w:rsidRDefault="00056535" w:rsidP="001F13FB">
      <w:pPr>
        <w:pStyle w:val="BodyText"/>
        <w:spacing w:before="73"/>
        <w:ind w:left="450" w:right="9"/>
        <w:rPr>
          <w:sz w:val="20"/>
          <w:szCs w:val="20"/>
        </w:rPr>
      </w:pPr>
      <w:r w:rsidRPr="00587EA1">
        <w:rPr>
          <w:sz w:val="20"/>
          <w:szCs w:val="20"/>
        </w:rPr>
        <w:t>Complainants should be notified of their right to an internal review (and where appropriate, external review) if they are dissatisfied with the outcome of the complaint.</w:t>
      </w:r>
    </w:p>
    <w:p w14:paraId="62B53E08" w14:textId="0187C362" w:rsidR="00056535" w:rsidRPr="001F13FB" w:rsidRDefault="00056535" w:rsidP="001F13FB">
      <w:pPr>
        <w:pStyle w:val="BodyText"/>
        <w:spacing w:before="73"/>
        <w:ind w:left="450" w:right="9"/>
        <w:rPr>
          <w:sz w:val="20"/>
          <w:szCs w:val="20"/>
        </w:rPr>
      </w:pPr>
      <w:r w:rsidRPr="00587EA1">
        <w:rPr>
          <w:sz w:val="20"/>
          <w:szCs w:val="20"/>
        </w:rPr>
        <w:t xml:space="preserve">An internal review will look at the appropriateness of how </w:t>
      </w:r>
      <w:r w:rsidR="000837F0" w:rsidRPr="00587EA1">
        <w:rPr>
          <w:sz w:val="20"/>
          <w:szCs w:val="20"/>
        </w:rPr>
        <w:t>the</w:t>
      </w:r>
      <w:r w:rsidRPr="00587EA1">
        <w:rPr>
          <w:sz w:val="20"/>
          <w:szCs w:val="20"/>
        </w:rPr>
        <w:t xml:space="preserve"> decision</w:t>
      </w:r>
      <w:r w:rsidR="00157B31">
        <w:rPr>
          <w:sz w:val="20"/>
          <w:szCs w:val="20"/>
        </w:rPr>
        <w:t>-</w:t>
      </w:r>
      <w:r w:rsidRPr="001F13FB">
        <w:rPr>
          <w:sz w:val="20"/>
          <w:szCs w:val="20"/>
        </w:rPr>
        <w:t xml:space="preserve">making process was undertaken. The grounds for internal review should identify what the complainant considers was incorrect in the process of responding to their complaint or </w:t>
      </w:r>
      <w:proofErr w:type="gramStart"/>
      <w:r w:rsidRPr="001F13FB">
        <w:rPr>
          <w:sz w:val="20"/>
          <w:szCs w:val="20"/>
        </w:rPr>
        <w:t>making a decision</w:t>
      </w:r>
      <w:proofErr w:type="gramEnd"/>
      <w:r w:rsidRPr="001F13FB">
        <w:rPr>
          <w:sz w:val="20"/>
          <w:szCs w:val="20"/>
        </w:rPr>
        <w:t>.</w:t>
      </w:r>
    </w:p>
    <w:p w14:paraId="5E19A22E" w14:textId="77777777" w:rsidR="00056535" w:rsidRPr="001F13FB" w:rsidRDefault="00056535" w:rsidP="001F13FB">
      <w:pPr>
        <w:pStyle w:val="BodyText"/>
        <w:spacing w:before="73"/>
        <w:ind w:left="450" w:right="9"/>
        <w:rPr>
          <w:sz w:val="20"/>
          <w:szCs w:val="20"/>
        </w:rPr>
      </w:pPr>
      <w:r w:rsidRPr="001F13FB">
        <w:rPr>
          <w:sz w:val="20"/>
          <w:szCs w:val="20"/>
        </w:rPr>
        <w:t>A request for internal review must be made within twelve months of the decision on the complaint.</w:t>
      </w:r>
    </w:p>
    <w:p w14:paraId="186FA06C" w14:textId="77777777" w:rsidR="00056535" w:rsidRPr="001F13FB" w:rsidRDefault="00056535" w:rsidP="001F13FB">
      <w:pPr>
        <w:pStyle w:val="BodyText"/>
        <w:spacing w:before="73"/>
        <w:ind w:left="450" w:right="9"/>
        <w:rPr>
          <w:sz w:val="20"/>
          <w:szCs w:val="20"/>
        </w:rPr>
      </w:pPr>
      <w:r w:rsidRPr="001F13FB">
        <w:rPr>
          <w:sz w:val="20"/>
          <w:szCs w:val="20"/>
        </w:rPr>
        <w:t>An internal review of the handling of the complaint, if requested, will be carried out by a senior officer who was not involved in the complaint or the investigation process and is independent of the original decision.</w:t>
      </w:r>
    </w:p>
    <w:p w14:paraId="0D69FD52" w14:textId="77777777" w:rsidR="00056535" w:rsidRPr="001F13FB" w:rsidRDefault="00056535" w:rsidP="001F13FB">
      <w:pPr>
        <w:pStyle w:val="BodyText"/>
        <w:spacing w:before="73"/>
        <w:ind w:left="450" w:right="9"/>
        <w:rPr>
          <w:sz w:val="20"/>
          <w:szCs w:val="20"/>
        </w:rPr>
      </w:pPr>
      <w:r w:rsidRPr="001F13FB">
        <w:rPr>
          <w:sz w:val="20"/>
          <w:szCs w:val="20"/>
        </w:rPr>
        <w:t>The senior officer should have:</w:t>
      </w:r>
    </w:p>
    <w:p w14:paraId="320D43A5" w14:textId="77777777" w:rsidR="00056535" w:rsidRPr="001F13FB" w:rsidRDefault="00056535" w:rsidP="001F13FB">
      <w:pPr>
        <w:pStyle w:val="Bullets1"/>
        <w:ind w:hanging="288"/>
        <w:contextualSpacing w:val="0"/>
      </w:pPr>
      <w:r w:rsidRPr="001F13FB">
        <w:t>the appropriate experience and knowledge to undertake the review; and</w:t>
      </w:r>
    </w:p>
    <w:p w14:paraId="41E8EA8E" w14:textId="77777777" w:rsidR="00056535" w:rsidRPr="001F13FB" w:rsidRDefault="00056535" w:rsidP="001F13FB">
      <w:pPr>
        <w:pStyle w:val="Bullets1"/>
        <w:ind w:hanging="288"/>
        <w:contextualSpacing w:val="0"/>
      </w:pPr>
      <w:r w:rsidRPr="001F13FB">
        <w:t>clear authority to modify or overturn the decision subject to review.</w:t>
      </w:r>
    </w:p>
    <w:p w14:paraId="536F4E3B" w14:textId="77777777" w:rsidR="00056535" w:rsidRPr="001F13FB" w:rsidRDefault="00056535" w:rsidP="001F13FB">
      <w:pPr>
        <w:pStyle w:val="BodyText"/>
        <w:spacing w:before="73"/>
        <w:ind w:left="450" w:right="9"/>
        <w:rPr>
          <w:sz w:val="20"/>
          <w:szCs w:val="20"/>
        </w:rPr>
      </w:pPr>
      <w:r w:rsidRPr="001F13FB">
        <w:rPr>
          <w:sz w:val="20"/>
          <w:szCs w:val="20"/>
        </w:rPr>
        <w:t>If a complainant is not satisfied with the outcome of the internal review of the complaint, the complainant may request that an external review be undertaken by:</w:t>
      </w:r>
    </w:p>
    <w:p w14:paraId="701920E5" w14:textId="77777777" w:rsidR="00056535" w:rsidRDefault="00056535" w:rsidP="001F13FB">
      <w:pPr>
        <w:pStyle w:val="Bullets1"/>
        <w:ind w:hanging="288"/>
        <w:contextualSpacing w:val="0"/>
      </w:pPr>
      <w:r>
        <w:t xml:space="preserve"> the </w:t>
      </w:r>
      <w:r w:rsidRPr="001F13FB">
        <w:t>Queensland</w:t>
      </w:r>
      <w:r>
        <w:t xml:space="preserve"> Ombudsman, or </w:t>
      </w:r>
    </w:p>
    <w:p w14:paraId="0F0FEDE0" w14:textId="77777777" w:rsidR="00056535" w:rsidRDefault="00056535" w:rsidP="001F13FB">
      <w:pPr>
        <w:pStyle w:val="Bullets1"/>
        <w:ind w:hanging="288"/>
        <w:contextualSpacing w:val="0"/>
      </w:pPr>
      <w:r>
        <w:t>in the case of a complaint about a breach of privacy by the Information Commissioner, or</w:t>
      </w:r>
    </w:p>
    <w:p w14:paraId="42FE3550" w14:textId="6D230D87" w:rsidR="00056535" w:rsidRDefault="00056535" w:rsidP="001F13FB">
      <w:pPr>
        <w:pStyle w:val="BodyText"/>
        <w:spacing w:before="73"/>
        <w:ind w:left="450" w:right="9"/>
        <w:rPr>
          <w:sz w:val="20"/>
          <w:szCs w:val="20"/>
        </w:rPr>
      </w:pPr>
      <w:r w:rsidRPr="001F13FB">
        <w:rPr>
          <w:sz w:val="20"/>
          <w:szCs w:val="20"/>
        </w:rPr>
        <w:t>These external review bodies may or may not accept the request for external review depending on the nature of the complaint:</w:t>
      </w:r>
    </w:p>
    <w:tbl>
      <w:tblPr>
        <w:tblpPr w:leftFromText="180" w:rightFromText="180" w:vertAnchor="text" w:horzAnchor="margin" w:tblpY="-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1"/>
        <w:gridCol w:w="4378"/>
      </w:tblGrid>
      <w:tr w:rsidR="0041794F" w:rsidRPr="005A6D33" w14:paraId="5D09E998" w14:textId="77777777" w:rsidTr="00A01231">
        <w:trPr>
          <w:trHeight w:val="2102"/>
        </w:trPr>
        <w:tc>
          <w:tcPr>
            <w:tcW w:w="2543" w:type="pct"/>
          </w:tcPr>
          <w:p w14:paraId="6BBF9984" w14:textId="77777777" w:rsidR="0041794F" w:rsidRPr="005A6D33" w:rsidRDefault="0041794F" w:rsidP="000837F0">
            <w:pPr>
              <w:pStyle w:val="TableParagraph"/>
              <w:rPr>
                <w:b/>
                <w:sz w:val="20"/>
                <w:szCs w:val="20"/>
              </w:rPr>
            </w:pPr>
            <w:r w:rsidRPr="005A6D33">
              <w:rPr>
                <w:b/>
                <w:sz w:val="20"/>
                <w:szCs w:val="20"/>
              </w:rPr>
              <w:t>Office of the Queensland Ombudsman</w:t>
            </w:r>
          </w:p>
          <w:p w14:paraId="30713F09" w14:textId="77777777" w:rsidR="0041794F" w:rsidRPr="005A6D33" w:rsidRDefault="0041794F" w:rsidP="000837F0">
            <w:pPr>
              <w:pStyle w:val="TableParagraph"/>
              <w:spacing w:before="4"/>
              <w:ind w:left="0"/>
              <w:rPr>
                <w:sz w:val="20"/>
                <w:szCs w:val="20"/>
              </w:rPr>
            </w:pPr>
          </w:p>
          <w:p w14:paraId="038C0D45" w14:textId="77777777" w:rsidR="0041794F" w:rsidRPr="005A6D33" w:rsidRDefault="0041794F" w:rsidP="000837F0">
            <w:pPr>
              <w:pStyle w:val="TableParagraph"/>
              <w:ind w:right="502"/>
              <w:rPr>
                <w:sz w:val="20"/>
                <w:szCs w:val="20"/>
              </w:rPr>
            </w:pPr>
            <w:r w:rsidRPr="005A6D33">
              <w:rPr>
                <w:sz w:val="20"/>
                <w:szCs w:val="20"/>
              </w:rPr>
              <w:t>GPO Box 3314, Brisbane, Queensland (07) 3005 7000 or toll Free: 1800 068 908</w:t>
            </w:r>
          </w:p>
          <w:p w14:paraId="2EE5D11B" w14:textId="77777777" w:rsidR="0041794F" w:rsidRPr="005A6D33" w:rsidRDefault="0041794F" w:rsidP="000837F0">
            <w:pPr>
              <w:pStyle w:val="TableParagraph"/>
              <w:rPr>
                <w:sz w:val="20"/>
                <w:szCs w:val="20"/>
              </w:rPr>
            </w:pPr>
            <w:r w:rsidRPr="005A6D33">
              <w:rPr>
                <w:sz w:val="20"/>
                <w:szCs w:val="20"/>
              </w:rPr>
              <w:t xml:space="preserve">(outside Brisbane) </w:t>
            </w:r>
            <w:hyperlink r:id="rId15">
              <w:r w:rsidRPr="00EA5D99">
                <w:rPr>
                  <w:color w:val="28695B" w:themeColor="accent1" w:themeShade="80"/>
                  <w:w w:val="95"/>
                  <w:sz w:val="20"/>
                  <w:szCs w:val="20"/>
                  <w:u w:val="single" w:color="28695B" w:themeColor="accent1" w:themeShade="80"/>
                </w:rPr>
                <w:t>ombudsman@ombudsman.qld.gov.au</w:t>
              </w:r>
            </w:hyperlink>
          </w:p>
        </w:tc>
        <w:tc>
          <w:tcPr>
            <w:tcW w:w="2457" w:type="pct"/>
          </w:tcPr>
          <w:p w14:paraId="4193C5C3" w14:textId="77777777" w:rsidR="0041794F" w:rsidRPr="005A6D33" w:rsidRDefault="0041794F" w:rsidP="000837F0">
            <w:pPr>
              <w:pStyle w:val="TableParagraph"/>
              <w:ind w:left="109"/>
              <w:rPr>
                <w:b/>
                <w:sz w:val="20"/>
                <w:szCs w:val="20"/>
              </w:rPr>
            </w:pPr>
            <w:r w:rsidRPr="005A6D33">
              <w:rPr>
                <w:b/>
                <w:sz w:val="20"/>
                <w:szCs w:val="20"/>
              </w:rPr>
              <w:t>Office of the Information Commissioner</w:t>
            </w:r>
          </w:p>
          <w:p w14:paraId="5D169238" w14:textId="77777777" w:rsidR="0041794F" w:rsidRPr="005A6D33" w:rsidRDefault="0041794F" w:rsidP="000837F0">
            <w:pPr>
              <w:pStyle w:val="TableParagraph"/>
              <w:spacing w:before="4"/>
              <w:ind w:left="109"/>
              <w:rPr>
                <w:color w:val="333333"/>
                <w:sz w:val="20"/>
                <w:szCs w:val="20"/>
              </w:rPr>
            </w:pPr>
            <w:r w:rsidRPr="005A6D33">
              <w:rPr>
                <w:sz w:val="20"/>
                <w:szCs w:val="20"/>
              </w:rPr>
              <w:t>(Note: must be in writing)</w:t>
            </w:r>
            <w:r w:rsidRPr="005A6D33">
              <w:rPr>
                <w:color w:val="333333"/>
                <w:sz w:val="20"/>
                <w:szCs w:val="20"/>
              </w:rPr>
              <w:t xml:space="preserve"> </w:t>
            </w:r>
          </w:p>
          <w:p w14:paraId="45F45A04" w14:textId="77777777" w:rsidR="0041794F" w:rsidRPr="005A6D33" w:rsidRDefault="0041794F" w:rsidP="000837F0">
            <w:pPr>
              <w:pStyle w:val="TableParagraph"/>
              <w:spacing w:before="4"/>
              <w:ind w:left="109"/>
              <w:rPr>
                <w:sz w:val="20"/>
                <w:szCs w:val="20"/>
              </w:rPr>
            </w:pPr>
            <w:r w:rsidRPr="005A6D33">
              <w:rPr>
                <w:color w:val="333333"/>
                <w:sz w:val="20"/>
                <w:szCs w:val="20"/>
              </w:rPr>
              <w:t xml:space="preserve">PO Box 10143, Adelaide Street, Brisbane, Queensland 4000 </w:t>
            </w:r>
            <w:hyperlink r:id="rId16">
              <w:r w:rsidRPr="00EA5D99">
                <w:rPr>
                  <w:color w:val="28695B" w:themeColor="accent1" w:themeShade="80"/>
                  <w:w w:val="95"/>
                  <w:sz w:val="20"/>
                  <w:szCs w:val="20"/>
                  <w:u w:val="single" w:color="28695B" w:themeColor="accent1" w:themeShade="80"/>
                </w:rPr>
                <w:t>www.oic.qld.gov.au/about/privacy/privacy-complaints</w:t>
              </w:r>
            </w:hyperlink>
          </w:p>
        </w:tc>
      </w:tr>
    </w:tbl>
    <w:p w14:paraId="794875DD" w14:textId="77777777" w:rsidR="000837F0" w:rsidRDefault="000837F0" w:rsidP="000837F0">
      <w:pPr>
        <w:pStyle w:val="Bullets1"/>
        <w:numPr>
          <w:ilvl w:val="0"/>
          <w:numId w:val="0"/>
        </w:numPr>
        <w:ind w:left="720" w:hanging="720"/>
        <w:contextualSpacing w:val="0"/>
      </w:pPr>
    </w:p>
    <w:p w14:paraId="30204B87" w14:textId="21895277" w:rsidR="000837F0" w:rsidRPr="00587EA1" w:rsidRDefault="000837F0" w:rsidP="00A01231">
      <w:pPr>
        <w:pStyle w:val="Bullets1"/>
        <w:numPr>
          <w:ilvl w:val="0"/>
          <w:numId w:val="0"/>
        </w:numPr>
        <w:ind w:left="426"/>
        <w:contextualSpacing w:val="0"/>
      </w:pPr>
      <w:r w:rsidRPr="00587EA1">
        <w:t xml:space="preserve">Where a complaint relates to conduct affecting a human right and the complainant either does not receive a response or considers the response inadequate, a written complaint can </w:t>
      </w:r>
      <w:r w:rsidR="00BE17BC" w:rsidRPr="00587EA1">
        <w:t xml:space="preserve">then </w:t>
      </w:r>
      <w:r w:rsidRPr="00587EA1">
        <w:t xml:space="preserve">be made to the </w:t>
      </w:r>
      <w:hyperlink r:id="rId17" w:history="1">
        <w:r w:rsidRPr="00587EA1">
          <w:rPr>
            <w:rStyle w:val="Hyperlink"/>
          </w:rPr>
          <w:t>Queensland Human Rights Commission</w:t>
        </w:r>
      </w:hyperlink>
      <w:r w:rsidRPr="00587EA1">
        <w:t>.</w:t>
      </w:r>
    </w:p>
    <w:p w14:paraId="2F418EE6" w14:textId="77777777" w:rsidR="000837F0" w:rsidRPr="00587EA1" w:rsidRDefault="000837F0" w:rsidP="00A01231">
      <w:pPr>
        <w:pStyle w:val="TableParagraph"/>
        <w:ind w:left="426"/>
        <w:rPr>
          <w:b/>
          <w:sz w:val="20"/>
          <w:szCs w:val="20"/>
        </w:rPr>
      </w:pPr>
      <w:r w:rsidRPr="00587EA1">
        <w:rPr>
          <w:b/>
          <w:sz w:val="20"/>
          <w:szCs w:val="20"/>
        </w:rPr>
        <w:t>Queensland Human Rights Commission</w:t>
      </w:r>
    </w:p>
    <w:p w14:paraId="745E96D3" w14:textId="77777777" w:rsidR="000837F0" w:rsidRPr="00587EA1" w:rsidRDefault="000837F0" w:rsidP="00A01231">
      <w:pPr>
        <w:pStyle w:val="TableParagraph"/>
        <w:spacing w:before="1"/>
        <w:ind w:left="426" w:right="732"/>
        <w:rPr>
          <w:color w:val="28695B" w:themeColor="accent1" w:themeShade="80"/>
          <w:sz w:val="20"/>
          <w:szCs w:val="20"/>
          <w:u w:val="single"/>
        </w:rPr>
      </w:pPr>
      <w:r w:rsidRPr="00587EA1">
        <w:rPr>
          <w:color w:val="333333"/>
          <w:sz w:val="20"/>
          <w:szCs w:val="20"/>
        </w:rPr>
        <w:t>City East Post Shop</w:t>
      </w:r>
      <w:r w:rsidRPr="00587EA1">
        <w:rPr>
          <w:color w:val="333333"/>
          <w:sz w:val="20"/>
          <w:szCs w:val="20"/>
        </w:rPr>
        <w:br/>
        <w:t>PO Box 15565, City East QLD 4002</w:t>
      </w:r>
      <w:r w:rsidRPr="00587EA1">
        <w:rPr>
          <w:color w:val="333333"/>
          <w:sz w:val="20"/>
          <w:szCs w:val="20"/>
          <w:u w:val="single"/>
        </w:rPr>
        <w:t xml:space="preserve"> </w:t>
      </w:r>
      <w:r w:rsidRPr="00587EA1">
        <w:rPr>
          <w:color w:val="333333"/>
          <w:sz w:val="20"/>
          <w:szCs w:val="20"/>
        </w:rPr>
        <w:t>or toll free 1300 130 670</w:t>
      </w:r>
    </w:p>
    <w:p w14:paraId="74CAE3C2" w14:textId="09E52E9B" w:rsidR="005A6D33" w:rsidRPr="00A01231" w:rsidRDefault="00C54FA9" w:rsidP="00A01231">
      <w:pPr>
        <w:pStyle w:val="TableParagraph"/>
        <w:spacing w:before="4"/>
        <w:ind w:left="426"/>
        <w:rPr>
          <w:b/>
          <w:color w:val="28695B" w:themeColor="accent1" w:themeShade="80"/>
          <w:sz w:val="20"/>
          <w:szCs w:val="20"/>
          <w:u w:color="0000FF"/>
        </w:rPr>
      </w:pPr>
      <w:hyperlink r:id="rId18" w:history="1">
        <w:r w:rsidR="000837F0" w:rsidRPr="00587EA1">
          <w:rPr>
            <w:rStyle w:val="Hyperlink"/>
            <w:b w:val="0"/>
            <w:sz w:val="20"/>
            <w:szCs w:val="20"/>
          </w:rPr>
          <w:t>www.qhrc.qld.gov.au/complaints</w:t>
        </w:r>
      </w:hyperlink>
    </w:p>
    <w:p w14:paraId="79541879" w14:textId="77777777" w:rsidR="007D7BFC" w:rsidRPr="007D7BFC" w:rsidRDefault="007D7BFC" w:rsidP="007D7BFC">
      <w:pPr>
        <w:pStyle w:val="Heading2"/>
        <w:numPr>
          <w:ilvl w:val="0"/>
          <w:numId w:val="6"/>
        </w:numPr>
        <w:ind w:left="426" w:hanging="426"/>
      </w:pPr>
      <w:r w:rsidRPr="007D7BFC">
        <w:t>Record keeping</w:t>
      </w:r>
    </w:p>
    <w:p w14:paraId="2A3BE147" w14:textId="4AA61D26" w:rsidR="007D7BFC" w:rsidRDefault="007D7BFC" w:rsidP="007D7BFC">
      <w:pPr>
        <w:pStyle w:val="BodyText"/>
        <w:spacing w:before="121"/>
        <w:ind w:right="9"/>
      </w:pPr>
      <w:r w:rsidRPr="007D7BFC">
        <w:rPr>
          <w:rFonts w:eastAsiaTheme="majorEastAsia" w:cstheme="minorBidi"/>
          <w:sz w:val="20"/>
          <w:szCs w:val="21"/>
          <w:lang w:eastAsia="en-US"/>
        </w:rPr>
        <w:t xml:space="preserve">A complaints register must be maintained by </w:t>
      </w:r>
      <w:r w:rsidR="00157B31">
        <w:rPr>
          <w:rFonts w:eastAsiaTheme="majorEastAsia" w:cstheme="minorBidi"/>
          <w:sz w:val="20"/>
          <w:szCs w:val="21"/>
          <w:lang w:eastAsia="en-US"/>
        </w:rPr>
        <w:t xml:space="preserve">the </w:t>
      </w:r>
      <w:r w:rsidRPr="007D7BFC">
        <w:rPr>
          <w:rFonts w:eastAsiaTheme="majorEastAsia" w:cstheme="minorBidi"/>
          <w:sz w:val="20"/>
          <w:szCs w:val="21"/>
          <w:lang w:eastAsia="en-US"/>
        </w:rPr>
        <w:t>PSC Complaints Coordinator. The complaints register must contain</w:t>
      </w:r>
      <w:r>
        <w:t>:</w:t>
      </w:r>
    </w:p>
    <w:p w14:paraId="563E3C6E" w14:textId="77777777" w:rsidR="007D7BFC" w:rsidRDefault="007D7BFC" w:rsidP="007D7BFC">
      <w:pPr>
        <w:pStyle w:val="Bullets1"/>
        <w:ind w:hanging="288"/>
        <w:contextualSpacing w:val="0"/>
      </w:pPr>
      <w:r w:rsidRPr="007D7BFC">
        <w:t>name of complainant</w:t>
      </w:r>
    </w:p>
    <w:p w14:paraId="2CA1276C" w14:textId="77777777" w:rsidR="007D7BFC" w:rsidRDefault="007D7BFC" w:rsidP="007D7BFC">
      <w:pPr>
        <w:pStyle w:val="Bullets1"/>
        <w:ind w:hanging="288"/>
        <w:contextualSpacing w:val="0"/>
      </w:pPr>
      <w:r w:rsidRPr="007D7BFC">
        <w:t>the type of complaint (including details of potential human rights breaches)</w:t>
      </w:r>
    </w:p>
    <w:p w14:paraId="3D721D72" w14:textId="77777777" w:rsidR="007D7BFC" w:rsidRDefault="007D7BFC" w:rsidP="007D7BFC">
      <w:pPr>
        <w:pStyle w:val="Bullets1"/>
        <w:ind w:hanging="288"/>
        <w:contextualSpacing w:val="0"/>
      </w:pPr>
      <w:r w:rsidRPr="007D7BFC">
        <w:t>name of investigating officer/business unit assigned to deal with the complaint</w:t>
      </w:r>
    </w:p>
    <w:p w14:paraId="5DE075A1" w14:textId="77777777" w:rsidR="007D7BFC" w:rsidRDefault="007D7BFC" w:rsidP="007D7BFC">
      <w:pPr>
        <w:pStyle w:val="Bullets1"/>
        <w:ind w:hanging="288"/>
        <w:contextualSpacing w:val="0"/>
      </w:pPr>
      <w:r w:rsidRPr="007D7BFC">
        <w:t>time taken to investigate complaint</w:t>
      </w:r>
    </w:p>
    <w:p w14:paraId="070D8BD1" w14:textId="77777777" w:rsidR="007D7BFC" w:rsidRDefault="007D7BFC" w:rsidP="007D7BFC">
      <w:pPr>
        <w:pStyle w:val="Bullets1"/>
        <w:ind w:hanging="288"/>
        <w:contextualSpacing w:val="0"/>
      </w:pPr>
      <w:r w:rsidRPr="007D7BFC">
        <w:t>the name of the decision maker and the outcome of complaint (including details of further action or if no further action was taken for reporting purposes)</w:t>
      </w:r>
    </w:p>
    <w:p w14:paraId="2DB97ABD" w14:textId="77777777" w:rsidR="007D7BFC" w:rsidRDefault="007D7BFC" w:rsidP="007D7BFC">
      <w:pPr>
        <w:pStyle w:val="Bullets1"/>
        <w:ind w:hanging="288"/>
        <w:contextualSpacing w:val="0"/>
      </w:pPr>
      <w:r w:rsidRPr="007D7BFC">
        <w:t>action recommended to address systemic issues (if any)</w:t>
      </w:r>
    </w:p>
    <w:p w14:paraId="3FA665C6" w14:textId="77777777" w:rsidR="007D7BFC" w:rsidRDefault="007D7BFC" w:rsidP="007D7BFC">
      <w:pPr>
        <w:pStyle w:val="Bullets1"/>
        <w:ind w:hanging="288"/>
        <w:contextualSpacing w:val="0"/>
      </w:pPr>
      <w:r w:rsidRPr="007D7BFC">
        <w:t>complainant satisfaction with the outcomes (if known).</w:t>
      </w:r>
    </w:p>
    <w:p w14:paraId="75ADDF74" w14:textId="60E6B384" w:rsidR="007D7BFC" w:rsidRPr="007D7BFC" w:rsidRDefault="007D7BFC" w:rsidP="007D7BFC">
      <w:pPr>
        <w:pStyle w:val="BodyText"/>
        <w:spacing w:before="121"/>
        <w:ind w:right="9"/>
        <w:rPr>
          <w:rFonts w:eastAsiaTheme="majorEastAsia" w:cstheme="minorBidi"/>
          <w:sz w:val="20"/>
          <w:szCs w:val="21"/>
          <w:lang w:eastAsia="en-US"/>
        </w:rPr>
      </w:pPr>
      <w:r w:rsidRPr="007D7BFC">
        <w:rPr>
          <w:rFonts w:eastAsiaTheme="majorEastAsia" w:cstheme="minorBidi"/>
          <w:sz w:val="20"/>
          <w:szCs w:val="21"/>
          <w:lang w:eastAsia="en-US"/>
        </w:rPr>
        <w:t xml:space="preserve">The Complaints Register and associated documentation should be kept confidential and secure. Associated documentation should only be accessible by PSC officers involved in the investigation of the complaint. These records should be stored in an access restricted folder in TRIM </w:t>
      </w:r>
      <w:r w:rsidR="00157B31">
        <w:rPr>
          <w:rFonts w:eastAsiaTheme="majorEastAsia" w:cstheme="minorBidi"/>
          <w:sz w:val="20"/>
          <w:szCs w:val="21"/>
          <w:lang w:eastAsia="en-US"/>
        </w:rPr>
        <w:t>–</w:t>
      </w:r>
      <w:r w:rsidRPr="007D7BFC">
        <w:rPr>
          <w:rFonts w:eastAsiaTheme="majorEastAsia" w:cstheme="minorBidi"/>
          <w:sz w:val="20"/>
          <w:szCs w:val="21"/>
          <w:lang w:eastAsia="en-US"/>
        </w:rPr>
        <w:t xml:space="preserve"> </w:t>
      </w:r>
      <w:r w:rsidR="00157B31">
        <w:rPr>
          <w:rFonts w:eastAsiaTheme="majorEastAsia" w:cstheme="minorBidi"/>
          <w:sz w:val="20"/>
          <w:szCs w:val="21"/>
          <w:lang w:eastAsia="en-US"/>
        </w:rPr>
        <w:t xml:space="preserve">the </w:t>
      </w:r>
      <w:r w:rsidRPr="007D7BFC">
        <w:rPr>
          <w:rFonts w:eastAsiaTheme="majorEastAsia" w:cstheme="minorBidi"/>
          <w:sz w:val="20"/>
          <w:szCs w:val="21"/>
          <w:lang w:eastAsia="en-US"/>
        </w:rPr>
        <w:t>PSC Electronic Document Records Management System.</w:t>
      </w:r>
    </w:p>
    <w:p w14:paraId="2A625144" w14:textId="77777777" w:rsidR="007D7BFC" w:rsidRPr="007D7BFC" w:rsidRDefault="007D7BFC" w:rsidP="007D7BFC">
      <w:pPr>
        <w:pStyle w:val="Heading2"/>
        <w:numPr>
          <w:ilvl w:val="0"/>
          <w:numId w:val="6"/>
        </w:numPr>
        <w:ind w:left="426" w:hanging="426"/>
      </w:pPr>
      <w:r w:rsidRPr="007D7BFC">
        <w:t>Retention and disposal</w:t>
      </w:r>
    </w:p>
    <w:p w14:paraId="18D45561" w14:textId="77777777" w:rsidR="007D7BFC" w:rsidRPr="007D7BFC" w:rsidRDefault="007D7BFC" w:rsidP="007D7BFC">
      <w:pPr>
        <w:pStyle w:val="BodyText"/>
        <w:spacing w:before="121"/>
        <w:ind w:right="9"/>
        <w:rPr>
          <w:sz w:val="20"/>
          <w:szCs w:val="20"/>
        </w:rPr>
      </w:pPr>
      <w:r w:rsidRPr="007D7BFC">
        <w:rPr>
          <w:sz w:val="20"/>
          <w:szCs w:val="20"/>
        </w:rPr>
        <w:t>The retention and disposal of records associated with the receipt, management and resolution of complaints within the scope of the PSC Complaints Policy and Procedure must be in accordance with the</w:t>
      </w:r>
      <w:r w:rsidRPr="00EA5D99">
        <w:rPr>
          <w:color w:val="28695B" w:themeColor="accent1" w:themeShade="80"/>
          <w:sz w:val="20"/>
          <w:szCs w:val="20"/>
        </w:rPr>
        <w:t xml:space="preserve"> </w:t>
      </w:r>
      <w:hyperlink r:id="rId19">
        <w:r w:rsidRPr="00EA5D99">
          <w:rPr>
            <w:color w:val="28695B" w:themeColor="accent1" w:themeShade="80"/>
            <w:sz w:val="20"/>
            <w:szCs w:val="20"/>
            <w:u w:val="single" w:color="28695B" w:themeColor="accent1" w:themeShade="80"/>
          </w:rPr>
          <w:t>General Retention and Disposal Schedule.</w:t>
        </w:r>
      </w:hyperlink>
    </w:p>
    <w:p w14:paraId="24DC1C24" w14:textId="77777777" w:rsidR="007D7BFC" w:rsidRPr="007D7BFC" w:rsidRDefault="007D7BFC" w:rsidP="007D7BFC">
      <w:pPr>
        <w:pStyle w:val="Heading2"/>
        <w:numPr>
          <w:ilvl w:val="0"/>
          <w:numId w:val="6"/>
        </w:numPr>
        <w:ind w:left="426" w:hanging="426"/>
      </w:pPr>
      <w:r w:rsidRPr="007D7BFC">
        <w:t>Review date</w:t>
      </w:r>
    </w:p>
    <w:p w14:paraId="2B3069DF" w14:textId="00632C1E" w:rsidR="007D7BFC" w:rsidRPr="00587EA1" w:rsidRDefault="007D7BFC" w:rsidP="007D7BFC">
      <w:pPr>
        <w:pStyle w:val="BodyText"/>
        <w:spacing w:before="121"/>
        <w:ind w:right="9"/>
        <w:rPr>
          <w:sz w:val="20"/>
          <w:szCs w:val="20"/>
        </w:rPr>
      </w:pPr>
      <w:r w:rsidRPr="00587EA1">
        <w:rPr>
          <w:sz w:val="20"/>
          <w:szCs w:val="20"/>
        </w:rPr>
        <w:t xml:space="preserve">January 2021 or upon issue of a new ISO Australian Standard on complaints management (pursuant to s.219A of the </w:t>
      </w:r>
      <w:r w:rsidRPr="00587EA1">
        <w:rPr>
          <w:i/>
          <w:sz w:val="20"/>
          <w:szCs w:val="20"/>
        </w:rPr>
        <w:t>Public Service Act 2008</w:t>
      </w:r>
      <w:r w:rsidRPr="00587EA1">
        <w:rPr>
          <w:sz w:val="20"/>
          <w:szCs w:val="20"/>
        </w:rPr>
        <w:t>).</w:t>
      </w:r>
    </w:p>
    <w:p w14:paraId="7B5A4CDA" w14:textId="77777777" w:rsidR="007D7BFC" w:rsidRPr="007D7BFC" w:rsidRDefault="007D7BFC" w:rsidP="007D7BFC">
      <w:pPr>
        <w:pStyle w:val="Heading2"/>
        <w:numPr>
          <w:ilvl w:val="0"/>
          <w:numId w:val="6"/>
        </w:numPr>
        <w:ind w:left="426" w:hanging="426"/>
      </w:pPr>
      <w:r w:rsidRPr="007D7BFC">
        <w:t>Approval</w:t>
      </w:r>
    </w:p>
    <w:p w14:paraId="524333EA" w14:textId="6774526F" w:rsidR="007D7BFC" w:rsidRPr="00587EA1" w:rsidRDefault="007D7BFC" w:rsidP="007D7BFC">
      <w:pPr>
        <w:pStyle w:val="BodyText"/>
        <w:spacing w:before="121"/>
        <w:ind w:right="9"/>
        <w:rPr>
          <w:sz w:val="20"/>
          <w:szCs w:val="20"/>
        </w:rPr>
      </w:pPr>
      <w:r w:rsidRPr="00587EA1">
        <w:rPr>
          <w:sz w:val="20"/>
          <w:szCs w:val="20"/>
        </w:rPr>
        <w:t xml:space="preserve">This procedure was approved by the Commission Chief Executive on </w:t>
      </w:r>
      <w:r w:rsidR="00587EA1" w:rsidRPr="00587EA1">
        <w:rPr>
          <w:sz w:val="20"/>
          <w:szCs w:val="20"/>
        </w:rPr>
        <w:t>15</w:t>
      </w:r>
      <w:r w:rsidRPr="00587EA1">
        <w:rPr>
          <w:sz w:val="20"/>
          <w:szCs w:val="20"/>
        </w:rPr>
        <w:t xml:space="preserve"> January 2020.</w:t>
      </w:r>
    </w:p>
    <w:p w14:paraId="29633B33" w14:textId="77777777" w:rsidR="001B381D" w:rsidRDefault="001B381D" w:rsidP="00B06F8D"/>
    <w:sectPr w:rsidR="001B381D" w:rsidSect="00E65CB8">
      <w:headerReference w:type="default" r:id="rId20"/>
      <w:footerReference w:type="default" r:id="rId21"/>
      <w:headerReference w:type="first" r:id="rId22"/>
      <w:footerReference w:type="first" r:id="rId23"/>
      <w:pgSz w:w="11906" w:h="16838" w:code="9"/>
      <w:pgMar w:top="1440" w:right="1286"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C2103" w14:textId="77777777" w:rsidR="000A1CAA" w:rsidRDefault="000A1CAA" w:rsidP="005744C6">
      <w:pPr>
        <w:spacing w:after="0" w:line="240" w:lineRule="auto"/>
      </w:pPr>
      <w:r>
        <w:separator/>
      </w:r>
    </w:p>
  </w:endnote>
  <w:endnote w:type="continuationSeparator" w:id="0">
    <w:p w14:paraId="26C7A3BD" w14:textId="77777777" w:rsidR="000A1CAA" w:rsidRDefault="000A1CAA" w:rsidP="00574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3F84B" w14:textId="6ECE93BA" w:rsidR="00942D7D" w:rsidRPr="000C36B3" w:rsidRDefault="003F033C" w:rsidP="000C36B3">
    <w:pPr>
      <w:pStyle w:val="Footer"/>
      <w:ind w:left="-567"/>
      <w:rPr>
        <w:szCs w:val="18"/>
      </w:rPr>
    </w:pPr>
    <w:r w:rsidRPr="002832CC">
      <w:rPr>
        <w:rFonts w:eastAsiaTheme="majorEastAsia"/>
        <w:noProof/>
        <w:szCs w:val="18"/>
      </w:rPr>
      <w:drawing>
        <wp:anchor distT="0" distB="0" distL="114300" distR="114300" simplePos="0" relativeHeight="251672576" behindDoc="1" locked="0" layoutInCell="1" allowOverlap="1" wp14:anchorId="69C5E380" wp14:editId="67B59F1B">
          <wp:simplePos x="0" y="0"/>
          <wp:positionH relativeFrom="column">
            <wp:posOffset>-1094105</wp:posOffset>
          </wp:positionH>
          <wp:positionV relativeFrom="paragraph">
            <wp:posOffset>-1018081</wp:posOffset>
          </wp:positionV>
          <wp:extent cx="1647056" cy="1596390"/>
          <wp:effectExtent l="0" t="0" r="0" b="381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C_accessable_refresh_word_concepts-07.jpg"/>
                  <pic:cNvPicPr/>
                </pic:nvPicPr>
                <pic:blipFill rotWithShape="1">
                  <a:blip r:embed="rId1">
                    <a:extLst>
                      <a:ext uri="{28A0092B-C50C-407E-A947-70E740481C1C}">
                        <a14:useLocalDpi xmlns:a14="http://schemas.microsoft.com/office/drawing/2010/main" val="0"/>
                      </a:ext>
                    </a:extLst>
                  </a:blip>
                  <a:srcRect t="85058" r="78214"/>
                  <a:stretch/>
                </pic:blipFill>
                <pic:spPr bwMode="auto">
                  <a:xfrm>
                    <a:off x="0" y="0"/>
                    <a:ext cx="1647056" cy="1596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32CC">
      <w:rPr>
        <w:szCs w:val="18"/>
      </w:rPr>
      <w:fldChar w:fldCharType="begin"/>
    </w:r>
    <w:r w:rsidRPr="002832CC">
      <w:rPr>
        <w:szCs w:val="18"/>
      </w:rPr>
      <w:instrText xml:space="preserve"> PAGE   \* MERGEFORMAT </w:instrText>
    </w:r>
    <w:r w:rsidRPr="002832CC">
      <w:rPr>
        <w:szCs w:val="18"/>
      </w:rPr>
      <w:fldChar w:fldCharType="separate"/>
    </w:r>
    <w:r w:rsidRPr="002832CC">
      <w:rPr>
        <w:szCs w:val="18"/>
      </w:rPr>
      <w:t>2</w:t>
    </w:r>
    <w:r w:rsidRPr="002832CC">
      <w:rPr>
        <w:szCs w:val="18"/>
      </w:rPr>
      <w:fldChar w:fldCharType="end"/>
    </w:r>
    <w:r w:rsidRPr="002832CC">
      <w:rPr>
        <w:szCs w:val="18"/>
      </w:rPr>
      <w:t xml:space="preserve"> </w:t>
    </w:r>
    <w:r w:rsidR="00CE1A7A">
      <w:rPr>
        <w:szCs w:val="18"/>
      </w:rPr>
      <w:t xml:space="preserve"> </w:t>
    </w:r>
    <w:r w:rsidR="000C36B3" w:rsidRPr="002832CC">
      <w:rPr>
        <w:szCs w:val="18"/>
      </w:rPr>
      <w:t>|</w:t>
    </w:r>
    <w:r w:rsidR="000C36B3">
      <w:rPr>
        <w:szCs w:val="18"/>
      </w:rPr>
      <w:t xml:space="preserve"> </w:t>
    </w:r>
    <w:r w:rsidR="000C36B3" w:rsidRPr="002832CC">
      <w:rPr>
        <w:szCs w:val="18"/>
      </w:rPr>
      <w:t xml:space="preserve"> </w:t>
    </w:r>
    <w:r w:rsidR="004D6FDE">
      <w:rPr>
        <w:szCs w:val="18"/>
      </w:rPr>
      <w:t>Customer Complaints Management Procedure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DE22D" w14:textId="202E687A" w:rsidR="00942D7D" w:rsidRDefault="00B06F8D" w:rsidP="000C36B3">
    <w:pPr>
      <w:pStyle w:val="Footer"/>
      <w:ind w:left="-993"/>
    </w:pPr>
    <w:r>
      <w:rPr>
        <w:noProof/>
      </w:rPr>
      <w:drawing>
        <wp:anchor distT="0" distB="0" distL="114300" distR="114300" simplePos="0" relativeHeight="251680768" behindDoc="1" locked="0" layoutInCell="1" allowOverlap="1" wp14:anchorId="37678CE1" wp14:editId="1A94693C">
          <wp:simplePos x="0" y="0"/>
          <wp:positionH relativeFrom="column">
            <wp:posOffset>4728359</wp:posOffset>
          </wp:positionH>
          <wp:positionV relativeFrom="paragraph">
            <wp:posOffset>-182880</wp:posOffset>
          </wp:positionV>
          <wp:extent cx="1440000" cy="470436"/>
          <wp:effectExtent l="0" t="0" r="8255" b="6350"/>
          <wp:wrapNone/>
          <wp:docPr id="21" name="Picture 21" descr="Queensland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4704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D30">
      <w:fldChar w:fldCharType="begin"/>
    </w:r>
    <w:r w:rsidRPr="00DC3D30">
      <w:instrText xml:space="preserve"> PAGE   \* MERGEFORMAT </w:instrText>
    </w:r>
    <w:r w:rsidRPr="00DC3D30">
      <w:fldChar w:fldCharType="separate"/>
    </w:r>
    <w:r>
      <w:t>1</w:t>
    </w:r>
    <w:r w:rsidRPr="00DC3D30">
      <w:fldChar w:fldCharType="end"/>
    </w:r>
    <w:r>
      <w:t xml:space="preserve"> </w:t>
    </w:r>
    <w:r w:rsidRPr="00DC3D30">
      <w:t xml:space="preserve"> </w:t>
    </w:r>
    <w:r w:rsidR="00BC70E2">
      <w:t>PSC Customer complaints management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F8C1D" w14:textId="77777777" w:rsidR="000A1CAA" w:rsidRDefault="000A1CAA" w:rsidP="005744C6">
      <w:pPr>
        <w:spacing w:after="0" w:line="240" w:lineRule="auto"/>
      </w:pPr>
      <w:r>
        <w:separator/>
      </w:r>
    </w:p>
  </w:footnote>
  <w:footnote w:type="continuationSeparator" w:id="0">
    <w:p w14:paraId="0EC45A47" w14:textId="77777777" w:rsidR="000A1CAA" w:rsidRDefault="000A1CAA" w:rsidP="00574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579DC" w14:textId="77777777" w:rsidR="00BA64D2" w:rsidRPr="00403DCF" w:rsidRDefault="00BA64D2" w:rsidP="00BA64D2">
    <w:r>
      <w:rPr>
        <w:noProof/>
      </w:rPr>
      <mc:AlternateContent>
        <mc:Choice Requires="wps">
          <w:drawing>
            <wp:anchor distT="0" distB="0" distL="114300" distR="114300" simplePos="0" relativeHeight="251675648" behindDoc="0" locked="0" layoutInCell="1" allowOverlap="1" wp14:anchorId="3B6D48A7" wp14:editId="6A890788">
              <wp:simplePos x="0" y="0"/>
              <wp:positionH relativeFrom="column">
                <wp:posOffset>-631530</wp:posOffset>
              </wp:positionH>
              <wp:positionV relativeFrom="paragraph">
                <wp:posOffset>-44140</wp:posOffset>
              </wp:positionV>
              <wp:extent cx="0" cy="1103748"/>
              <wp:effectExtent l="19050" t="19050" r="38100" b="2032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103748"/>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BEAB8" id="Straight Connector 1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5pt,-3.5pt" to="-49.7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" strokecolor="#60c3ad [3204]" strokeweight="4.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25F2D695" wp14:editId="701ED45D">
              <wp:simplePos x="0" y="0"/>
              <wp:positionH relativeFrom="column">
                <wp:posOffset>-661035</wp:posOffset>
              </wp:positionH>
              <wp:positionV relativeFrom="paragraph">
                <wp:posOffset>-27800</wp:posOffset>
              </wp:positionV>
              <wp:extent cx="1099185" cy="0"/>
              <wp:effectExtent l="0" t="19050" r="43815" b="3810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99185"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D039E"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2.05pt,-2.2pt" to="3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" strokecolor="#60c3ad [3204]" strokeweight="4.5pt">
              <v:stroke joinstyle="miter"/>
            </v:line>
          </w:pict>
        </mc:Fallback>
      </mc:AlternateContent>
    </w:r>
  </w:p>
  <w:p w14:paraId="37C0AE8F" w14:textId="77777777" w:rsidR="00942D7D" w:rsidRDefault="00942D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50C74" w14:textId="77777777" w:rsidR="00B06F8D" w:rsidRPr="00DA1824" w:rsidRDefault="00B06F8D" w:rsidP="00B06F8D">
    <w:pPr>
      <w:pStyle w:val="Header"/>
      <w:tabs>
        <w:tab w:val="clear" w:pos="9026"/>
        <w:tab w:val="right" w:pos="8505"/>
      </w:tabs>
      <w:ind w:right="-994"/>
      <w:jc w:val="right"/>
      <w:rPr>
        <w:b w:val="0"/>
        <w:color w:val="auto"/>
      </w:rPr>
    </w:pPr>
    <w:r>
      <w:rPr>
        <w:b w:val="0"/>
        <w:noProof/>
        <w:color w:val="auto"/>
      </w:rPr>
      <w:drawing>
        <wp:anchor distT="0" distB="0" distL="114300" distR="114300" simplePos="0" relativeHeight="251678720" behindDoc="1" locked="0" layoutInCell="1" allowOverlap="1" wp14:anchorId="3DA5C772" wp14:editId="1BE124D3">
          <wp:simplePos x="0" y="0"/>
          <wp:positionH relativeFrom="column">
            <wp:posOffset>-1089323</wp:posOffset>
          </wp:positionH>
          <wp:positionV relativeFrom="paragraph">
            <wp:posOffset>-446405</wp:posOffset>
          </wp:positionV>
          <wp:extent cx="6451916" cy="897255"/>
          <wp:effectExtent l="0" t="0" r="635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37222"/>
                  <a:stretch/>
                </pic:blipFill>
                <pic:spPr bwMode="auto">
                  <a:xfrm>
                    <a:off x="0" y="0"/>
                    <a:ext cx="6451916" cy="897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1824">
      <w:rPr>
        <w:b w:val="0"/>
        <w:color w:val="auto"/>
      </w:rPr>
      <w:t>Public Service Commission</w:t>
    </w:r>
  </w:p>
  <w:p w14:paraId="2BDB9489" w14:textId="77777777" w:rsidR="00B06F8D" w:rsidRDefault="00002807">
    <w:pPr>
      <w:pStyle w:val="Header"/>
    </w:pPr>
    <w:r>
      <w:rPr>
        <w:b w:val="0"/>
        <w:noProof/>
        <w:color w:val="auto"/>
      </w:rPr>
      <mc:AlternateContent>
        <mc:Choice Requires="wps">
          <w:drawing>
            <wp:anchor distT="0" distB="0" distL="114300" distR="114300" simplePos="0" relativeHeight="251677696" behindDoc="0" locked="0" layoutInCell="1" allowOverlap="1" wp14:anchorId="274E8646" wp14:editId="0A81FA2F">
              <wp:simplePos x="0" y="0"/>
              <wp:positionH relativeFrom="column">
                <wp:posOffset>4496117</wp:posOffset>
              </wp:positionH>
              <wp:positionV relativeFrom="paragraph">
                <wp:posOffset>20955</wp:posOffset>
              </wp:positionV>
              <wp:extent cx="225983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5983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260C5B" id="Straight Connector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1.65pt" to="531.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" strokecolor="black [3200]" strokeweight="1pt">
              <v:stroke joinstyle="miter"/>
            </v:line>
          </w:pict>
        </mc:Fallback>
      </mc:AlternateContent>
    </w:r>
  </w:p>
  <w:p w14:paraId="21DE0FCE" w14:textId="77777777" w:rsidR="00942D7D" w:rsidRDefault="00942D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E79"/>
    <w:multiLevelType w:val="hybridMultilevel"/>
    <w:tmpl w:val="D91808FA"/>
    <w:lvl w:ilvl="0" w:tplc="B0F2D6FE">
      <w:start w:val="1"/>
      <w:numFmt w:val="bullet"/>
      <w:pStyle w:val="Bullets1"/>
      <w:lvlText w:val=""/>
      <w:lvlJc w:val="left"/>
      <w:pPr>
        <w:ind w:left="720" w:hanging="720"/>
      </w:pPr>
      <w:rPr>
        <w:rFonts w:ascii="Symbol" w:hAnsi="Symbol" w:hint="default"/>
        <w:color w:val="auto"/>
      </w:rPr>
    </w:lvl>
    <w:lvl w:ilvl="1" w:tplc="19C2AA84">
      <w:start w:val="1"/>
      <w:numFmt w:val="bullet"/>
      <w:pStyle w:val="Bullets2"/>
      <w:lvlText w:val="―"/>
      <w:lvlJc w:val="left"/>
      <w:pPr>
        <w:ind w:left="1080" w:hanging="360"/>
      </w:pPr>
      <w:rPr>
        <w:rFonts w:ascii="Arial Black" w:hAnsi="Arial Black" w:hint="default"/>
        <w:color w:val="60C3AD" w:themeColor="accent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5106C2"/>
    <w:multiLevelType w:val="hybridMultilevel"/>
    <w:tmpl w:val="CAA81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3665DA"/>
    <w:multiLevelType w:val="hybridMultilevel"/>
    <w:tmpl w:val="33C228DC"/>
    <w:lvl w:ilvl="0" w:tplc="FD5A3210">
      <w:numFmt w:val="bullet"/>
      <w:lvlText w:val=""/>
      <w:lvlJc w:val="left"/>
      <w:pPr>
        <w:ind w:left="1668" w:hanging="360"/>
      </w:pPr>
      <w:rPr>
        <w:rFonts w:ascii="Symbol" w:eastAsia="Symbol" w:hAnsi="Symbol" w:cs="Symbol" w:hint="default"/>
        <w:color w:val="0D0D0D"/>
        <w:w w:val="100"/>
        <w:sz w:val="22"/>
        <w:szCs w:val="22"/>
        <w:lang w:val="en-AU" w:eastAsia="en-AU" w:bidi="en-AU"/>
      </w:rPr>
    </w:lvl>
    <w:lvl w:ilvl="1" w:tplc="F76A267E">
      <w:numFmt w:val="bullet"/>
      <w:lvlText w:val="•"/>
      <w:lvlJc w:val="left"/>
      <w:pPr>
        <w:ind w:left="2602" w:hanging="360"/>
      </w:pPr>
      <w:rPr>
        <w:rFonts w:hint="default"/>
        <w:lang w:val="en-AU" w:eastAsia="en-AU" w:bidi="en-AU"/>
      </w:rPr>
    </w:lvl>
    <w:lvl w:ilvl="2" w:tplc="001EB9E4">
      <w:numFmt w:val="bullet"/>
      <w:lvlText w:val="•"/>
      <w:lvlJc w:val="left"/>
      <w:pPr>
        <w:ind w:left="3545" w:hanging="360"/>
      </w:pPr>
      <w:rPr>
        <w:rFonts w:hint="default"/>
        <w:lang w:val="en-AU" w:eastAsia="en-AU" w:bidi="en-AU"/>
      </w:rPr>
    </w:lvl>
    <w:lvl w:ilvl="3" w:tplc="D9C862C2">
      <w:numFmt w:val="bullet"/>
      <w:lvlText w:val="•"/>
      <w:lvlJc w:val="left"/>
      <w:pPr>
        <w:ind w:left="4487" w:hanging="360"/>
      </w:pPr>
      <w:rPr>
        <w:rFonts w:hint="default"/>
        <w:lang w:val="en-AU" w:eastAsia="en-AU" w:bidi="en-AU"/>
      </w:rPr>
    </w:lvl>
    <w:lvl w:ilvl="4" w:tplc="300A43DE">
      <w:numFmt w:val="bullet"/>
      <w:lvlText w:val="•"/>
      <w:lvlJc w:val="left"/>
      <w:pPr>
        <w:ind w:left="5430" w:hanging="360"/>
      </w:pPr>
      <w:rPr>
        <w:rFonts w:hint="default"/>
        <w:lang w:val="en-AU" w:eastAsia="en-AU" w:bidi="en-AU"/>
      </w:rPr>
    </w:lvl>
    <w:lvl w:ilvl="5" w:tplc="2D2668A2">
      <w:numFmt w:val="bullet"/>
      <w:lvlText w:val="•"/>
      <w:lvlJc w:val="left"/>
      <w:pPr>
        <w:ind w:left="6373" w:hanging="360"/>
      </w:pPr>
      <w:rPr>
        <w:rFonts w:hint="default"/>
        <w:lang w:val="en-AU" w:eastAsia="en-AU" w:bidi="en-AU"/>
      </w:rPr>
    </w:lvl>
    <w:lvl w:ilvl="6" w:tplc="6F242F96">
      <w:numFmt w:val="bullet"/>
      <w:lvlText w:val="•"/>
      <w:lvlJc w:val="left"/>
      <w:pPr>
        <w:ind w:left="7315" w:hanging="360"/>
      </w:pPr>
      <w:rPr>
        <w:rFonts w:hint="default"/>
        <w:lang w:val="en-AU" w:eastAsia="en-AU" w:bidi="en-AU"/>
      </w:rPr>
    </w:lvl>
    <w:lvl w:ilvl="7" w:tplc="FE68A242">
      <w:numFmt w:val="bullet"/>
      <w:lvlText w:val="•"/>
      <w:lvlJc w:val="left"/>
      <w:pPr>
        <w:ind w:left="8258" w:hanging="360"/>
      </w:pPr>
      <w:rPr>
        <w:rFonts w:hint="default"/>
        <w:lang w:val="en-AU" w:eastAsia="en-AU" w:bidi="en-AU"/>
      </w:rPr>
    </w:lvl>
    <w:lvl w:ilvl="8" w:tplc="332815CE">
      <w:numFmt w:val="bullet"/>
      <w:lvlText w:val="•"/>
      <w:lvlJc w:val="left"/>
      <w:pPr>
        <w:ind w:left="9201" w:hanging="360"/>
      </w:pPr>
      <w:rPr>
        <w:rFonts w:hint="default"/>
        <w:lang w:val="en-AU" w:eastAsia="en-AU" w:bidi="en-AU"/>
      </w:rPr>
    </w:lvl>
  </w:abstractNum>
  <w:abstractNum w:abstractNumId="3" w15:restartNumberingAfterBreak="0">
    <w:nsid w:val="1F390282"/>
    <w:multiLevelType w:val="multilevel"/>
    <w:tmpl w:val="434E618A"/>
    <w:lvl w:ilvl="0">
      <w:start w:val="3"/>
      <w:numFmt w:val="decimal"/>
      <w:lvlText w:val="%1"/>
      <w:lvlJc w:val="left"/>
      <w:pPr>
        <w:ind w:left="959" w:hanging="368"/>
      </w:pPr>
      <w:rPr>
        <w:rFonts w:hint="default"/>
        <w:lang w:val="en-AU" w:eastAsia="en-AU" w:bidi="en-AU"/>
      </w:rPr>
    </w:lvl>
    <w:lvl w:ilvl="1">
      <w:start w:val="1"/>
      <w:numFmt w:val="decimal"/>
      <w:lvlText w:val="%1.%2"/>
      <w:lvlJc w:val="left"/>
      <w:pPr>
        <w:ind w:left="959" w:hanging="368"/>
      </w:pPr>
      <w:rPr>
        <w:rFonts w:ascii="Arial" w:eastAsia="Arial" w:hAnsi="Arial" w:cs="Arial" w:hint="default"/>
        <w:b/>
        <w:bCs/>
        <w:color w:val="5AC9AE"/>
        <w:w w:val="99"/>
        <w:sz w:val="24"/>
        <w:szCs w:val="24"/>
        <w:lang w:val="en-AU" w:eastAsia="en-AU" w:bidi="en-AU"/>
      </w:rPr>
    </w:lvl>
    <w:lvl w:ilvl="2">
      <w:numFmt w:val="bullet"/>
      <w:lvlText w:val="•"/>
      <w:lvlJc w:val="left"/>
      <w:pPr>
        <w:ind w:left="2984" w:hanging="368"/>
      </w:pPr>
      <w:rPr>
        <w:rFonts w:hint="default"/>
        <w:lang w:val="en-AU" w:eastAsia="en-AU" w:bidi="en-AU"/>
      </w:rPr>
    </w:lvl>
    <w:lvl w:ilvl="3">
      <w:numFmt w:val="bullet"/>
      <w:lvlText w:val="•"/>
      <w:lvlJc w:val="left"/>
      <w:pPr>
        <w:ind w:left="3996" w:hanging="368"/>
      </w:pPr>
      <w:rPr>
        <w:rFonts w:hint="default"/>
        <w:lang w:val="en-AU" w:eastAsia="en-AU" w:bidi="en-AU"/>
      </w:rPr>
    </w:lvl>
    <w:lvl w:ilvl="4">
      <w:numFmt w:val="bullet"/>
      <w:lvlText w:val="•"/>
      <w:lvlJc w:val="left"/>
      <w:pPr>
        <w:ind w:left="5009" w:hanging="368"/>
      </w:pPr>
      <w:rPr>
        <w:rFonts w:hint="default"/>
        <w:lang w:val="en-AU" w:eastAsia="en-AU" w:bidi="en-AU"/>
      </w:rPr>
    </w:lvl>
    <w:lvl w:ilvl="5">
      <w:numFmt w:val="bullet"/>
      <w:lvlText w:val="•"/>
      <w:lvlJc w:val="left"/>
      <w:pPr>
        <w:ind w:left="6022" w:hanging="368"/>
      </w:pPr>
      <w:rPr>
        <w:rFonts w:hint="default"/>
        <w:lang w:val="en-AU" w:eastAsia="en-AU" w:bidi="en-AU"/>
      </w:rPr>
    </w:lvl>
    <w:lvl w:ilvl="6">
      <w:numFmt w:val="bullet"/>
      <w:lvlText w:val="•"/>
      <w:lvlJc w:val="left"/>
      <w:pPr>
        <w:ind w:left="7034" w:hanging="368"/>
      </w:pPr>
      <w:rPr>
        <w:rFonts w:hint="default"/>
        <w:lang w:val="en-AU" w:eastAsia="en-AU" w:bidi="en-AU"/>
      </w:rPr>
    </w:lvl>
    <w:lvl w:ilvl="7">
      <w:numFmt w:val="bullet"/>
      <w:lvlText w:val="•"/>
      <w:lvlJc w:val="left"/>
      <w:pPr>
        <w:ind w:left="8047" w:hanging="368"/>
      </w:pPr>
      <w:rPr>
        <w:rFonts w:hint="default"/>
        <w:lang w:val="en-AU" w:eastAsia="en-AU" w:bidi="en-AU"/>
      </w:rPr>
    </w:lvl>
    <w:lvl w:ilvl="8">
      <w:numFmt w:val="bullet"/>
      <w:lvlText w:val="•"/>
      <w:lvlJc w:val="left"/>
      <w:pPr>
        <w:ind w:left="9060" w:hanging="368"/>
      </w:pPr>
      <w:rPr>
        <w:rFonts w:hint="default"/>
        <w:lang w:val="en-AU" w:eastAsia="en-AU" w:bidi="en-AU"/>
      </w:rPr>
    </w:lvl>
  </w:abstractNum>
  <w:abstractNum w:abstractNumId="4" w15:restartNumberingAfterBreak="0">
    <w:nsid w:val="26FE238F"/>
    <w:multiLevelType w:val="hybridMultilevel"/>
    <w:tmpl w:val="F05C7B6C"/>
    <w:lvl w:ilvl="0" w:tplc="E1B6A556">
      <w:start w:val="1"/>
      <w:numFmt w:val="decimal"/>
      <w:lvlText w:val="%1."/>
      <w:lvlJc w:val="left"/>
      <w:pPr>
        <w:ind w:left="468" w:hanging="360"/>
        <w:jc w:val="right"/>
      </w:pPr>
      <w:rPr>
        <w:rFonts w:ascii="Arial" w:eastAsia="Arial" w:hAnsi="Arial" w:cs="Arial" w:hint="default"/>
        <w:b/>
        <w:bCs/>
        <w:color w:val="5AC9AE"/>
        <w:spacing w:val="-1"/>
        <w:w w:val="100"/>
        <w:sz w:val="28"/>
        <w:szCs w:val="28"/>
        <w:lang w:val="en-AU" w:eastAsia="en-AU" w:bidi="en-AU"/>
      </w:rPr>
    </w:lvl>
    <w:lvl w:ilvl="1" w:tplc="864A2CE2">
      <w:numFmt w:val="bullet"/>
      <w:lvlText w:val=""/>
      <w:lvlJc w:val="left"/>
      <w:pPr>
        <w:ind w:left="1188" w:hanging="360"/>
      </w:pPr>
      <w:rPr>
        <w:rFonts w:ascii="Symbol" w:eastAsia="Symbol" w:hAnsi="Symbol" w:cs="Symbol" w:hint="default"/>
        <w:w w:val="100"/>
        <w:sz w:val="22"/>
        <w:szCs w:val="22"/>
        <w:lang w:val="en-AU" w:eastAsia="en-AU" w:bidi="en-AU"/>
      </w:rPr>
    </w:lvl>
    <w:lvl w:ilvl="2" w:tplc="3C4A3112">
      <w:numFmt w:val="bullet"/>
      <w:lvlText w:val="•"/>
      <w:lvlJc w:val="left"/>
      <w:pPr>
        <w:ind w:left="1240" w:hanging="360"/>
      </w:pPr>
      <w:rPr>
        <w:rFonts w:hint="default"/>
        <w:lang w:val="en-AU" w:eastAsia="en-AU" w:bidi="en-AU"/>
      </w:rPr>
    </w:lvl>
    <w:lvl w:ilvl="3" w:tplc="049C5504">
      <w:numFmt w:val="bullet"/>
      <w:lvlText w:val="•"/>
      <w:lvlJc w:val="left"/>
      <w:pPr>
        <w:ind w:left="2470" w:hanging="360"/>
      </w:pPr>
      <w:rPr>
        <w:rFonts w:hint="default"/>
        <w:lang w:val="en-AU" w:eastAsia="en-AU" w:bidi="en-AU"/>
      </w:rPr>
    </w:lvl>
    <w:lvl w:ilvl="4" w:tplc="039019F4">
      <w:numFmt w:val="bullet"/>
      <w:lvlText w:val="•"/>
      <w:lvlJc w:val="left"/>
      <w:pPr>
        <w:ind w:left="3701" w:hanging="360"/>
      </w:pPr>
      <w:rPr>
        <w:rFonts w:hint="default"/>
        <w:lang w:val="en-AU" w:eastAsia="en-AU" w:bidi="en-AU"/>
      </w:rPr>
    </w:lvl>
    <w:lvl w:ilvl="5" w:tplc="26F84C4E">
      <w:numFmt w:val="bullet"/>
      <w:lvlText w:val="•"/>
      <w:lvlJc w:val="left"/>
      <w:pPr>
        <w:ind w:left="4932" w:hanging="360"/>
      </w:pPr>
      <w:rPr>
        <w:rFonts w:hint="default"/>
        <w:lang w:val="en-AU" w:eastAsia="en-AU" w:bidi="en-AU"/>
      </w:rPr>
    </w:lvl>
    <w:lvl w:ilvl="6" w:tplc="ABF8DBE2">
      <w:numFmt w:val="bullet"/>
      <w:lvlText w:val="•"/>
      <w:lvlJc w:val="left"/>
      <w:pPr>
        <w:ind w:left="6163" w:hanging="360"/>
      </w:pPr>
      <w:rPr>
        <w:rFonts w:hint="default"/>
        <w:lang w:val="en-AU" w:eastAsia="en-AU" w:bidi="en-AU"/>
      </w:rPr>
    </w:lvl>
    <w:lvl w:ilvl="7" w:tplc="F59AB3A4">
      <w:numFmt w:val="bullet"/>
      <w:lvlText w:val="•"/>
      <w:lvlJc w:val="left"/>
      <w:pPr>
        <w:ind w:left="7394" w:hanging="360"/>
      </w:pPr>
      <w:rPr>
        <w:rFonts w:hint="default"/>
        <w:lang w:val="en-AU" w:eastAsia="en-AU" w:bidi="en-AU"/>
      </w:rPr>
    </w:lvl>
    <w:lvl w:ilvl="8" w:tplc="0F0C7BF8">
      <w:numFmt w:val="bullet"/>
      <w:lvlText w:val="•"/>
      <w:lvlJc w:val="left"/>
      <w:pPr>
        <w:ind w:left="8624" w:hanging="360"/>
      </w:pPr>
      <w:rPr>
        <w:rFonts w:hint="default"/>
        <w:lang w:val="en-AU" w:eastAsia="en-AU" w:bidi="en-AU"/>
      </w:rPr>
    </w:lvl>
  </w:abstractNum>
  <w:abstractNum w:abstractNumId="5" w15:restartNumberingAfterBreak="0">
    <w:nsid w:val="2BFD45EF"/>
    <w:multiLevelType w:val="hybridMultilevel"/>
    <w:tmpl w:val="4A38A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5C31C9"/>
    <w:multiLevelType w:val="hybridMultilevel"/>
    <w:tmpl w:val="04CA2E36"/>
    <w:lvl w:ilvl="0" w:tplc="461614CC">
      <w:start w:val="1"/>
      <w:numFmt w:val="decimal"/>
      <w:pStyle w:val="Numberedlis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481923"/>
    <w:multiLevelType w:val="multilevel"/>
    <w:tmpl w:val="03A4E45A"/>
    <w:lvl w:ilvl="0">
      <w:start w:val="1"/>
      <w:numFmt w:val="decimal"/>
      <w:lvlText w:val="%1."/>
      <w:lvlJc w:val="left"/>
      <w:pPr>
        <w:ind w:left="1186" w:hanging="358"/>
        <w:jc w:val="right"/>
      </w:pPr>
      <w:rPr>
        <w:rFonts w:hint="default"/>
        <w:spacing w:val="-1"/>
        <w:w w:val="100"/>
        <w:lang w:val="en-AU" w:eastAsia="en-AU" w:bidi="en-AU"/>
      </w:rPr>
    </w:lvl>
    <w:lvl w:ilvl="1">
      <w:start w:val="1"/>
      <w:numFmt w:val="decimal"/>
      <w:lvlText w:val="%1.%2."/>
      <w:lvlJc w:val="left"/>
      <w:pPr>
        <w:ind w:left="960" w:hanging="433"/>
        <w:jc w:val="left"/>
      </w:pPr>
      <w:rPr>
        <w:rFonts w:ascii="Arial" w:eastAsia="Arial" w:hAnsi="Arial" w:cs="Arial" w:hint="default"/>
        <w:b/>
        <w:bCs/>
        <w:color w:val="5AC9AE"/>
        <w:w w:val="99"/>
        <w:sz w:val="24"/>
        <w:szCs w:val="24"/>
        <w:lang w:val="en-AU" w:eastAsia="en-AU" w:bidi="en-AU"/>
      </w:rPr>
    </w:lvl>
    <w:lvl w:ilvl="2">
      <w:start w:val="1"/>
      <w:numFmt w:val="bullet"/>
      <w:lvlText w:val=""/>
      <w:lvlJc w:val="left"/>
      <w:pPr>
        <w:ind w:left="1668" w:hanging="360"/>
      </w:pPr>
      <w:rPr>
        <w:rFonts w:ascii="Symbol" w:hAnsi="Symbol" w:hint="default"/>
        <w:w w:val="100"/>
        <w:lang w:val="en-AU" w:eastAsia="en-AU" w:bidi="en-AU"/>
      </w:rPr>
    </w:lvl>
    <w:lvl w:ilvl="3">
      <w:numFmt w:val="bullet"/>
      <w:lvlText w:val="•"/>
      <w:lvlJc w:val="left"/>
      <w:pPr>
        <w:ind w:left="1660" w:hanging="360"/>
      </w:pPr>
      <w:rPr>
        <w:rFonts w:hint="default"/>
        <w:lang w:val="en-AU" w:eastAsia="en-AU" w:bidi="en-AU"/>
      </w:rPr>
    </w:lvl>
    <w:lvl w:ilvl="4">
      <w:numFmt w:val="bullet"/>
      <w:lvlText w:val="•"/>
      <w:lvlJc w:val="left"/>
      <w:pPr>
        <w:ind w:left="3006" w:hanging="360"/>
      </w:pPr>
      <w:rPr>
        <w:rFonts w:hint="default"/>
        <w:lang w:val="en-AU" w:eastAsia="en-AU" w:bidi="en-AU"/>
      </w:rPr>
    </w:lvl>
    <w:lvl w:ilvl="5">
      <w:numFmt w:val="bullet"/>
      <w:lvlText w:val="•"/>
      <w:lvlJc w:val="left"/>
      <w:pPr>
        <w:ind w:left="4353" w:hanging="360"/>
      </w:pPr>
      <w:rPr>
        <w:rFonts w:hint="default"/>
        <w:lang w:val="en-AU" w:eastAsia="en-AU" w:bidi="en-AU"/>
      </w:rPr>
    </w:lvl>
    <w:lvl w:ilvl="6">
      <w:numFmt w:val="bullet"/>
      <w:lvlText w:val="•"/>
      <w:lvlJc w:val="left"/>
      <w:pPr>
        <w:ind w:left="5699" w:hanging="360"/>
      </w:pPr>
      <w:rPr>
        <w:rFonts w:hint="default"/>
        <w:lang w:val="en-AU" w:eastAsia="en-AU" w:bidi="en-AU"/>
      </w:rPr>
    </w:lvl>
    <w:lvl w:ilvl="7">
      <w:numFmt w:val="bullet"/>
      <w:lvlText w:val="•"/>
      <w:lvlJc w:val="left"/>
      <w:pPr>
        <w:ind w:left="7046" w:hanging="360"/>
      </w:pPr>
      <w:rPr>
        <w:rFonts w:hint="default"/>
        <w:lang w:val="en-AU" w:eastAsia="en-AU" w:bidi="en-AU"/>
      </w:rPr>
    </w:lvl>
    <w:lvl w:ilvl="8">
      <w:numFmt w:val="bullet"/>
      <w:lvlText w:val="•"/>
      <w:lvlJc w:val="left"/>
      <w:pPr>
        <w:ind w:left="8393" w:hanging="360"/>
      </w:pPr>
      <w:rPr>
        <w:rFonts w:hint="default"/>
        <w:lang w:val="en-AU" w:eastAsia="en-AU" w:bidi="en-AU"/>
      </w:rPr>
    </w:lvl>
  </w:abstractNum>
  <w:abstractNum w:abstractNumId="8" w15:restartNumberingAfterBreak="0">
    <w:nsid w:val="6A3D7F13"/>
    <w:multiLevelType w:val="multilevel"/>
    <w:tmpl w:val="03A4E45A"/>
    <w:lvl w:ilvl="0">
      <w:start w:val="1"/>
      <w:numFmt w:val="decimal"/>
      <w:lvlText w:val="%1."/>
      <w:lvlJc w:val="left"/>
      <w:pPr>
        <w:ind w:left="1186" w:hanging="358"/>
        <w:jc w:val="right"/>
      </w:pPr>
      <w:rPr>
        <w:rFonts w:hint="default"/>
        <w:spacing w:val="-1"/>
        <w:w w:val="100"/>
        <w:lang w:val="en-AU" w:eastAsia="en-AU" w:bidi="en-AU"/>
      </w:rPr>
    </w:lvl>
    <w:lvl w:ilvl="1">
      <w:start w:val="1"/>
      <w:numFmt w:val="decimal"/>
      <w:lvlText w:val="%1.%2."/>
      <w:lvlJc w:val="left"/>
      <w:pPr>
        <w:ind w:left="960" w:hanging="433"/>
        <w:jc w:val="left"/>
      </w:pPr>
      <w:rPr>
        <w:rFonts w:ascii="Arial" w:eastAsia="Arial" w:hAnsi="Arial" w:cs="Arial" w:hint="default"/>
        <w:b/>
        <w:bCs/>
        <w:color w:val="5AC9AE"/>
        <w:w w:val="99"/>
        <w:sz w:val="24"/>
        <w:szCs w:val="24"/>
        <w:lang w:val="en-AU" w:eastAsia="en-AU" w:bidi="en-AU"/>
      </w:rPr>
    </w:lvl>
    <w:lvl w:ilvl="2">
      <w:start w:val="1"/>
      <w:numFmt w:val="bullet"/>
      <w:lvlText w:val=""/>
      <w:lvlJc w:val="left"/>
      <w:pPr>
        <w:ind w:left="1668" w:hanging="360"/>
      </w:pPr>
      <w:rPr>
        <w:rFonts w:ascii="Symbol" w:hAnsi="Symbol" w:hint="default"/>
        <w:w w:val="100"/>
        <w:lang w:val="en-AU" w:eastAsia="en-AU" w:bidi="en-AU"/>
      </w:rPr>
    </w:lvl>
    <w:lvl w:ilvl="3">
      <w:numFmt w:val="bullet"/>
      <w:lvlText w:val="•"/>
      <w:lvlJc w:val="left"/>
      <w:pPr>
        <w:ind w:left="1660" w:hanging="360"/>
      </w:pPr>
      <w:rPr>
        <w:rFonts w:hint="default"/>
        <w:lang w:val="en-AU" w:eastAsia="en-AU" w:bidi="en-AU"/>
      </w:rPr>
    </w:lvl>
    <w:lvl w:ilvl="4">
      <w:numFmt w:val="bullet"/>
      <w:lvlText w:val="•"/>
      <w:lvlJc w:val="left"/>
      <w:pPr>
        <w:ind w:left="3006" w:hanging="360"/>
      </w:pPr>
      <w:rPr>
        <w:rFonts w:hint="default"/>
        <w:lang w:val="en-AU" w:eastAsia="en-AU" w:bidi="en-AU"/>
      </w:rPr>
    </w:lvl>
    <w:lvl w:ilvl="5">
      <w:numFmt w:val="bullet"/>
      <w:lvlText w:val="•"/>
      <w:lvlJc w:val="left"/>
      <w:pPr>
        <w:ind w:left="4353" w:hanging="360"/>
      </w:pPr>
      <w:rPr>
        <w:rFonts w:hint="default"/>
        <w:lang w:val="en-AU" w:eastAsia="en-AU" w:bidi="en-AU"/>
      </w:rPr>
    </w:lvl>
    <w:lvl w:ilvl="6">
      <w:numFmt w:val="bullet"/>
      <w:lvlText w:val="•"/>
      <w:lvlJc w:val="left"/>
      <w:pPr>
        <w:ind w:left="5699" w:hanging="360"/>
      </w:pPr>
      <w:rPr>
        <w:rFonts w:hint="default"/>
        <w:lang w:val="en-AU" w:eastAsia="en-AU" w:bidi="en-AU"/>
      </w:rPr>
    </w:lvl>
    <w:lvl w:ilvl="7">
      <w:numFmt w:val="bullet"/>
      <w:lvlText w:val="•"/>
      <w:lvlJc w:val="left"/>
      <w:pPr>
        <w:ind w:left="7046" w:hanging="360"/>
      </w:pPr>
      <w:rPr>
        <w:rFonts w:hint="default"/>
        <w:lang w:val="en-AU" w:eastAsia="en-AU" w:bidi="en-AU"/>
      </w:rPr>
    </w:lvl>
    <w:lvl w:ilvl="8">
      <w:numFmt w:val="bullet"/>
      <w:lvlText w:val="•"/>
      <w:lvlJc w:val="left"/>
      <w:pPr>
        <w:ind w:left="8393" w:hanging="360"/>
      </w:pPr>
      <w:rPr>
        <w:rFonts w:hint="default"/>
        <w:lang w:val="en-AU" w:eastAsia="en-AU" w:bidi="en-AU"/>
      </w:rPr>
    </w:lvl>
  </w:abstractNum>
  <w:abstractNum w:abstractNumId="9" w15:restartNumberingAfterBreak="0">
    <w:nsid w:val="6B8F1664"/>
    <w:multiLevelType w:val="hybridMultilevel"/>
    <w:tmpl w:val="EBB65644"/>
    <w:lvl w:ilvl="0" w:tplc="FE86F67E">
      <w:numFmt w:val="bullet"/>
      <w:lvlText w:val="•"/>
      <w:lvlJc w:val="left"/>
      <w:pPr>
        <w:ind w:left="1080" w:hanging="72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225D6F"/>
    <w:multiLevelType w:val="multilevel"/>
    <w:tmpl w:val="1624EACA"/>
    <w:lvl w:ilvl="0">
      <w:start w:val="1"/>
      <w:numFmt w:val="decimal"/>
      <w:lvlText w:val="%1."/>
      <w:lvlJc w:val="left"/>
      <w:pPr>
        <w:ind w:left="720" w:hanging="360"/>
      </w:pPr>
      <w:rPr>
        <w:rFonts w:hint="default"/>
      </w:rPr>
    </w:lvl>
    <w:lvl w:ilvl="1">
      <w:start w:val="1"/>
      <w:numFmt w:val="decimal"/>
      <w:pStyle w:val="Numberedlist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5"/>
  </w:num>
  <w:num w:numId="3">
    <w:abstractNumId w:val="9"/>
  </w:num>
  <w:num w:numId="4">
    <w:abstractNumId w:val="0"/>
  </w:num>
  <w:num w:numId="5">
    <w:abstractNumId w:val="6"/>
  </w:num>
  <w:num w:numId="6">
    <w:abstractNumId w:val="10"/>
  </w:num>
  <w:num w:numId="7">
    <w:abstractNumId w:val="4"/>
  </w:num>
  <w:num w:numId="8">
    <w:abstractNumId w:val="0"/>
  </w:num>
  <w:num w:numId="9">
    <w:abstractNumId w:val="0"/>
  </w:num>
  <w:num w:numId="10">
    <w:abstractNumId w:val="3"/>
  </w:num>
  <w:num w:numId="11">
    <w:abstractNumId w:val="10"/>
  </w:num>
  <w:num w:numId="12">
    <w:abstractNumId w:val="0"/>
  </w:num>
  <w:num w:numId="13">
    <w:abstractNumId w:val="8"/>
  </w:num>
  <w:num w:numId="14">
    <w:abstractNumId w:val="7"/>
  </w:num>
  <w:num w:numId="15">
    <w:abstractNumId w:val="10"/>
  </w:num>
  <w:num w:numId="16">
    <w:abstractNumId w:val="10"/>
  </w:num>
  <w:num w:numId="17">
    <w:abstractNumId w:val="10"/>
  </w:num>
  <w:num w:numId="18">
    <w:abstractNumId w:val="10"/>
  </w:num>
  <w:num w:numId="19">
    <w:abstractNumId w:val="0"/>
  </w:num>
  <w:num w:numId="20">
    <w:abstractNumId w:val="10"/>
  </w:num>
  <w:num w:numId="21">
    <w:abstractNumId w:val="0"/>
  </w:num>
  <w:num w:numId="22">
    <w:abstractNumId w:val="10"/>
  </w:num>
  <w:num w:numId="23">
    <w:abstractNumId w:val="0"/>
  </w:num>
  <w:num w:numId="24">
    <w:abstractNumId w:val="0"/>
  </w:num>
  <w:num w:numId="25">
    <w:abstractNumId w:val="10"/>
  </w:num>
  <w:num w:numId="26">
    <w:abstractNumId w:val="10"/>
  </w:num>
  <w:num w:numId="27">
    <w:abstractNumId w:val="0"/>
  </w:num>
  <w:num w:numId="28">
    <w:abstractNumId w:val="0"/>
  </w:num>
  <w:num w:numId="29">
    <w:abstractNumId w:val="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32D"/>
    <w:rsid w:val="00002807"/>
    <w:rsid w:val="000112EB"/>
    <w:rsid w:val="000156E9"/>
    <w:rsid w:val="00020C5B"/>
    <w:rsid w:val="00027EDB"/>
    <w:rsid w:val="00031AF2"/>
    <w:rsid w:val="00056535"/>
    <w:rsid w:val="00056ABA"/>
    <w:rsid w:val="000603B3"/>
    <w:rsid w:val="000617E9"/>
    <w:rsid w:val="00061B41"/>
    <w:rsid w:val="000654E0"/>
    <w:rsid w:val="000837F0"/>
    <w:rsid w:val="000A1CAA"/>
    <w:rsid w:val="000C36B3"/>
    <w:rsid w:val="000D647F"/>
    <w:rsid w:val="000E5A57"/>
    <w:rsid w:val="000E5C4D"/>
    <w:rsid w:val="00103E19"/>
    <w:rsid w:val="001304E7"/>
    <w:rsid w:val="00150056"/>
    <w:rsid w:val="00154743"/>
    <w:rsid w:val="00157B31"/>
    <w:rsid w:val="00171CDD"/>
    <w:rsid w:val="0017642E"/>
    <w:rsid w:val="00191D49"/>
    <w:rsid w:val="001B381D"/>
    <w:rsid w:val="001B654B"/>
    <w:rsid w:val="001E67E6"/>
    <w:rsid w:val="001E6BA4"/>
    <w:rsid w:val="001F13FB"/>
    <w:rsid w:val="001F5192"/>
    <w:rsid w:val="00230D42"/>
    <w:rsid w:val="00245303"/>
    <w:rsid w:val="00252C65"/>
    <w:rsid w:val="00255E5A"/>
    <w:rsid w:val="0026556A"/>
    <w:rsid w:val="00270F5D"/>
    <w:rsid w:val="002747F5"/>
    <w:rsid w:val="00274D0E"/>
    <w:rsid w:val="00280B3E"/>
    <w:rsid w:val="002832CC"/>
    <w:rsid w:val="002A3393"/>
    <w:rsid w:val="002B6B28"/>
    <w:rsid w:val="002E633A"/>
    <w:rsid w:val="00312FC9"/>
    <w:rsid w:val="003554E2"/>
    <w:rsid w:val="00357AEA"/>
    <w:rsid w:val="003B7FD4"/>
    <w:rsid w:val="003F033C"/>
    <w:rsid w:val="00403D68"/>
    <w:rsid w:val="00403DCF"/>
    <w:rsid w:val="00407780"/>
    <w:rsid w:val="0041794F"/>
    <w:rsid w:val="004276FC"/>
    <w:rsid w:val="00440501"/>
    <w:rsid w:val="00473EA1"/>
    <w:rsid w:val="004B28A6"/>
    <w:rsid w:val="004B6E56"/>
    <w:rsid w:val="004C0B01"/>
    <w:rsid w:val="004D6FDE"/>
    <w:rsid w:val="004E1F0B"/>
    <w:rsid w:val="004E4DDC"/>
    <w:rsid w:val="004F2D89"/>
    <w:rsid w:val="00512932"/>
    <w:rsid w:val="00522831"/>
    <w:rsid w:val="005379AD"/>
    <w:rsid w:val="00543EAA"/>
    <w:rsid w:val="00546066"/>
    <w:rsid w:val="005671FF"/>
    <w:rsid w:val="00571DC0"/>
    <w:rsid w:val="00572BDC"/>
    <w:rsid w:val="005744C6"/>
    <w:rsid w:val="00585FF3"/>
    <w:rsid w:val="00587EA1"/>
    <w:rsid w:val="0059555E"/>
    <w:rsid w:val="005A1050"/>
    <w:rsid w:val="005A6D33"/>
    <w:rsid w:val="005C36A4"/>
    <w:rsid w:val="005C66C1"/>
    <w:rsid w:val="005D3352"/>
    <w:rsid w:val="005D3689"/>
    <w:rsid w:val="005F72A8"/>
    <w:rsid w:val="00600671"/>
    <w:rsid w:val="006015C1"/>
    <w:rsid w:val="006164C1"/>
    <w:rsid w:val="006317FD"/>
    <w:rsid w:val="00634A56"/>
    <w:rsid w:val="006521E5"/>
    <w:rsid w:val="00655509"/>
    <w:rsid w:val="00655D03"/>
    <w:rsid w:val="0068710C"/>
    <w:rsid w:val="00696DBD"/>
    <w:rsid w:val="006C3AD8"/>
    <w:rsid w:val="006E29A2"/>
    <w:rsid w:val="006F10DE"/>
    <w:rsid w:val="00727CAD"/>
    <w:rsid w:val="00747E7A"/>
    <w:rsid w:val="00753594"/>
    <w:rsid w:val="0077574E"/>
    <w:rsid w:val="00793D06"/>
    <w:rsid w:val="007D7BFC"/>
    <w:rsid w:val="00811F83"/>
    <w:rsid w:val="00814A13"/>
    <w:rsid w:val="00844C5E"/>
    <w:rsid w:val="00880728"/>
    <w:rsid w:val="008907E3"/>
    <w:rsid w:val="008B1CE9"/>
    <w:rsid w:val="008B3091"/>
    <w:rsid w:val="008E3BD5"/>
    <w:rsid w:val="008F7911"/>
    <w:rsid w:val="00925445"/>
    <w:rsid w:val="00936549"/>
    <w:rsid w:val="00942D7D"/>
    <w:rsid w:val="00986668"/>
    <w:rsid w:val="009A6FD3"/>
    <w:rsid w:val="009E5EF1"/>
    <w:rsid w:val="00A01231"/>
    <w:rsid w:val="00A02722"/>
    <w:rsid w:val="00A0502C"/>
    <w:rsid w:val="00A06FED"/>
    <w:rsid w:val="00A506E4"/>
    <w:rsid w:val="00A55A8C"/>
    <w:rsid w:val="00A7597A"/>
    <w:rsid w:val="00A91C69"/>
    <w:rsid w:val="00A9288C"/>
    <w:rsid w:val="00AD139E"/>
    <w:rsid w:val="00AD52C5"/>
    <w:rsid w:val="00AE3462"/>
    <w:rsid w:val="00AE3F51"/>
    <w:rsid w:val="00B0493A"/>
    <w:rsid w:val="00B06F8D"/>
    <w:rsid w:val="00B07012"/>
    <w:rsid w:val="00B13176"/>
    <w:rsid w:val="00B1557C"/>
    <w:rsid w:val="00B50940"/>
    <w:rsid w:val="00B543BE"/>
    <w:rsid w:val="00B66E29"/>
    <w:rsid w:val="00B67C5A"/>
    <w:rsid w:val="00B7336C"/>
    <w:rsid w:val="00B7772D"/>
    <w:rsid w:val="00B80AC9"/>
    <w:rsid w:val="00B8729F"/>
    <w:rsid w:val="00BA2C15"/>
    <w:rsid w:val="00BA4901"/>
    <w:rsid w:val="00BA64D2"/>
    <w:rsid w:val="00BB2285"/>
    <w:rsid w:val="00BC1FDE"/>
    <w:rsid w:val="00BC70E2"/>
    <w:rsid w:val="00BD0AAF"/>
    <w:rsid w:val="00BD5939"/>
    <w:rsid w:val="00BE0EB4"/>
    <w:rsid w:val="00BE17BC"/>
    <w:rsid w:val="00BE1F09"/>
    <w:rsid w:val="00BF1369"/>
    <w:rsid w:val="00BF3956"/>
    <w:rsid w:val="00C02368"/>
    <w:rsid w:val="00C26007"/>
    <w:rsid w:val="00C43CE6"/>
    <w:rsid w:val="00C53F84"/>
    <w:rsid w:val="00C54609"/>
    <w:rsid w:val="00C54FA9"/>
    <w:rsid w:val="00C562C8"/>
    <w:rsid w:val="00C70B96"/>
    <w:rsid w:val="00C8263D"/>
    <w:rsid w:val="00CD46A1"/>
    <w:rsid w:val="00CE1A7A"/>
    <w:rsid w:val="00D47177"/>
    <w:rsid w:val="00D54591"/>
    <w:rsid w:val="00D678C9"/>
    <w:rsid w:val="00D84A34"/>
    <w:rsid w:val="00D9487D"/>
    <w:rsid w:val="00DA1824"/>
    <w:rsid w:val="00DC3D30"/>
    <w:rsid w:val="00DF0A33"/>
    <w:rsid w:val="00E00C31"/>
    <w:rsid w:val="00E05E59"/>
    <w:rsid w:val="00E35F52"/>
    <w:rsid w:val="00E65C66"/>
    <w:rsid w:val="00E65CB8"/>
    <w:rsid w:val="00E67811"/>
    <w:rsid w:val="00E87D25"/>
    <w:rsid w:val="00E96315"/>
    <w:rsid w:val="00E9771C"/>
    <w:rsid w:val="00EA5D99"/>
    <w:rsid w:val="00EB3C2A"/>
    <w:rsid w:val="00EC74F9"/>
    <w:rsid w:val="00EF3679"/>
    <w:rsid w:val="00F033E7"/>
    <w:rsid w:val="00F15FBC"/>
    <w:rsid w:val="00F2524A"/>
    <w:rsid w:val="00F352B2"/>
    <w:rsid w:val="00F56ED7"/>
    <w:rsid w:val="00F72228"/>
    <w:rsid w:val="00F92759"/>
    <w:rsid w:val="00FE43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BCDC6A"/>
  <w15:chartTrackingRefBased/>
  <w15:docId w15:val="{8C539F6F-8E66-4C2C-BC2D-ED754790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031AF2"/>
    <w:rPr>
      <w:rFonts w:ascii="Arial" w:hAnsi="Arial"/>
      <w:sz w:val="20"/>
    </w:rPr>
  </w:style>
  <w:style w:type="paragraph" w:styleId="Heading1">
    <w:name w:val="heading 1"/>
    <w:basedOn w:val="Normal"/>
    <w:next w:val="Normal"/>
    <w:link w:val="Heading1Char"/>
    <w:uiPriority w:val="9"/>
    <w:qFormat/>
    <w:rsid w:val="00BA64D2"/>
    <w:pPr>
      <w:keepNext/>
      <w:keepLines/>
      <w:pBdr>
        <w:bottom w:val="single" w:sz="36" w:space="8" w:color="60C3AD" w:themeColor="accent1"/>
      </w:pBdr>
      <w:spacing w:before="400" w:after="240" w:line="240" w:lineRule="auto"/>
      <w:outlineLvl w:val="0"/>
    </w:pPr>
    <w:rPr>
      <w:rFonts w:eastAsiaTheme="majorEastAsia" w:cstheme="majorBidi"/>
      <w:b/>
      <w:sz w:val="36"/>
      <w:szCs w:val="36"/>
    </w:rPr>
  </w:style>
  <w:style w:type="paragraph" w:styleId="Heading2">
    <w:name w:val="heading 2"/>
    <w:basedOn w:val="Normal"/>
    <w:next w:val="Normal"/>
    <w:link w:val="Heading2Char"/>
    <w:uiPriority w:val="9"/>
    <w:unhideWhenUsed/>
    <w:qFormat/>
    <w:rsid w:val="00031AF2"/>
    <w:pPr>
      <w:keepNext/>
      <w:keepLines/>
      <w:spacing w:before="280" w:line="240" w:lineRule="auto"/>
      <w:outlineLvl w:val="1"/>
    </w:pPr>
    <w:rPr>
      <w:rFonts w:eastAsiaTheme="majorEastAsia" w:cstheme="majorBidi"/>
      <w:color w:val="007A6D" w:themeColor="accent4"/>
      <w:sz w:val="28"/>
      <w:szCs w:val="28"/>
    </w:rPr>
  </w:style>
  <w:style w:type="paragraph" w:styleId="Heading3">
    <w:name w:val="heading 3"/>
    <w:basedOn w:val="Normal"/>
    <w:next w:val="Normal"/>
    <w:link w:val="Heading3Char"/>
    <w:uiPriority w:val="9"/>
    <w:unhideWhenUsed/>
    <w:qFormat/>
    <w:rsid w:val="00031AF2"/>
    <w:pPr>
      <w:keepNext/>
      <w:keepLines/>
      <w:spacing w:before="120" w:line="240" w:lineRule="auto"/>
      <w:outlineLvl w:val="2"/>
    </w:pPr>
    <w:rPr>
      <w:rFonts w:eastAsiaTheme="majorEastAsia" w:cstheme="majorBidi"/>
      <w:sz w:val="24"/>
      <w:szCs w:val="26"/>
    </w:rPr>
  </w:style>
  <w:style w:type="paragraph" w:styleId="Heading4">
    <w:name w:val="heading 4"/>
    <w:basedOn w:val="Normal"/>
    <w:next w:val="Normal"/>
    <w:link w:val="Heading4Char"/>
    <w:uiPriority w:val="9"/>
    <w:unhideWhenUsed/>
    <w:qFormat/>
    <w:rsid w:val="00B50940"/>
    <w:pPr>
      <w:keepNext/>
      <w:keepLines/>
      <w:spacing w:before="80" w:after="0"/>
      <w:outlineLvl w:val="3"/>
    </w:pPr>
    <w:rPr>
      <w:rFonts w:eastAsiaTheme="majorEastAsia" w:cstheme="majorBidi"/>
      <w:b/>
      <w:szCs w:val="24"/>
    </w:rPr>
  </w:style>
  <w:style w:type="paragraph" w:styleId="Heading5">
    <w:name w:val="heading 5"/>
    <w:basedOn w:val="Normal"/>
    <w:next w:val="Normal"/>
    <w:link w:val="Heading5Char"/>
    <w:uiPriority w:val="9"/>
    <w:semiHidden/>
    <w:unhideWhenUsed/>
    <w:qFormat/>
    <w:rsid w:val="005D335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D335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D335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D335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D335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4D2"/>
    <w:rPr>
      <w:rFonts w:ascii="Arial" w:eastAsiaTheme="majorEastAsia" w:hAnsi="Arial" w:cstheme="majorBidi"/>
      <w:b/>
      <w:sz w:val="36"/>
      <w:szCs w:val="36"/>
    </w:rPr>
  </w:style>
  <w:style w:type="character" w:customStyle="1" w:styleId="Heading2Char">
    <w:name w:val="Heading 2 Char"/>
    <w:basedOn w:val="DefaultParagraphFont"/>
    <w:link w:val="Heading2"/>
    <w:uiPriority w:val="9"/>
    <w:rsid w:val="00031AF2"/>
    <w:rPr>
      <w:rFonts w:ascii="Arial" w:eastAsiaTheme="majorEastAsia" w:hAnsi="Arial" w:cstheme="majorBidi"/>
      <w:color w:val="007A6D" w:themeColor="accent4"/>
      <w:sz w:val="28"/>
      <w:szCs w:val="28"/>
    </w:rPr>
  </w:style>
  <w:style w:type="character" w:customStyle="1" w:styleId="Heading3Char">
    <w:name w:val="Heading 3 Char"/>
    <w:basedOn w:val="DefaultParagraphFont"/>
    <w:link w:val="Heading3"/>
    <w:uiPriority w:val="9"/>
    <w:rsid w:val="00031AF2"/>
    <w:rPr>
      <w:rFonts w:ascii="Arial" w:eastAsiaTheme="majorEastAsia" w:hAnsi="Arial" w:cstheme="majorBidi"/>
      <w:sz w:val="24"/>
      <w:szCs w:val="26"/>
    </w:rPr>
  </w:style>
  <w:style w:type="character" w:customStyle="1" w:styleId="Heading4Char">
    <w:name w:val="Heading 4 Char"/>
    <w:basedOn w:val="DefaultParagraphFont"/>
    <w:link w:val="Heading4"/>
    <w:uiPriority w:val="9"/>
    <w:rsid w:val="00B50940"/>
    <w:rPr>
      <w:rFonts w:ascii="Arial" w:eastAsiaTheme="majorEastAsia" w:hAnsi="Arial" w:cstheme="majorBidi"/>
      <w:b/>
      <w:sz w:val="20"/>
      <w:szCs w:val="24"/>
    </w:rPr>
  </w:style>
  <w:style w:type="character" w:customStyle="1" w:styleId="Heading5Char">
    <w:name w:val="Heading 5 Char"/>
    <w:basedOn w:val="DefaultParagraphFont"/>
    <w:link w:val="Heading5"/>
    <w:uiPriority w:val="9"/>
    <w:semiHidden/>
    <w:rsid w:val="005D335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D335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D335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D335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D335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D3352"/>
    <w:pPr>
      <w:spacing w:line="240" w:lineRule="auto"/>
    </w:pPr>
    <w:rPr>
      <w:b/>
      <w:bCs/>
      <w:color w:val="404040" w:themeColor="text1" w:themeTint="BF"/>
      <w:szCs w:val="20"/>
    </w:rPr>
  </w:style>
  <w:style w:type="paragraph" w:styleId="Title">
    <w:name w:val="Title"/>
    <w:basedOn w:val="Normal"/>
    <w:next w:val="Normal"/>
    <w:link w:val="TitleChar"/>
    <w:autoRedefine/>
    <w:uiPriority w:val="10"/>
    <w:qFormat/>
    <w:rsid w:val="00C53F84"/>
    <w:pPr>
      <w:pBdr>
        <w:bottom w:val="single" w:sz="36" w:space="8" w:color="60C3AD" w:themeColor="accent1"/>
      </w:pBdr>
      <w:spacing w:after="0" w:line="240" w:lineRule="auto"/>
      <w:contextualSpacing/>
    </w:pPr>
    <w:rPr>
      <w:rFonts w:eastAsiaTheme="majorEastAsia" w:cstheme="majorBidi"/>
      <w:b/>
      <w:spacing w:val="-7"/>
      <w:sz w:val="52"/>
      <w:szCs w:val="52"/>
    </w:rPr>
  </w:style>
  <w:style w:type="character" w:customStyle="1" w:styleId="TitleChar">
    <w:name w:val="Title Char"/>
    <w:basedOn w:val="DefaultParagraphFont"/>
    <w:link w:val="Title"/>
    <w:uiPriority w:val="10"/>
    <w:rsid w:val="00C53F84"/>
    <w:rPr>
      <w:rFonts w:ascii="Arial" w:eastAsiaTheme="majorEastAsia" w:hAnsi="Arial" w:cstheme="majorBidi"/>
      <w:b/>
      <w:spacing w:val="-7"/>
      <w:sz w:val="52"/>
      <w:szCs w:val="52"/>
    </w:rPr>
  </w:style>
  <w:style w:type="paragraph" w:styleId="Subtitle">
    <w:name w:val="Subtitle"/>
    <w:basedOn w:val="Normal"/>
    <w:next w:val="Normal"/>
    <w:link w:val="SubtitleChar"/>
    <w:uiPriority w:val="11"/>
    <w:qFormat/>
    <w:rsid w:val="00844C5E"/>
    <w:pPr>
      <w:numPr>
        <w:ilvl w:val="1"/>
      </w:numPr>
      <w:spacing w:before="240" w:after="480" w:line="240" w:lineRule="auto"/>
    </w:pPr>
    <w:rPr>
      <w:rFonts w:eastAsiaTheme="majorEastAsia" w:cstheme="majorBidi"/>
      <w:sz w:val="30"/>
      <w:szCs w:val="30"/>
    </w:rPr>
  </w:style>
  <w:style w:type="character" w:customStyle="1" w:styleId="SubtitleChar">
    <w:name w:val="Subtitle Char"/>
    <w:basedOn w:val="DefaultParagraphFont"/>
    <w:link w:val="Subtitle"/>
    <w:uiPriority w:val="11"/>
    <w:rsid w:val="00844C5E"/>
    <w:rPr>
      <w:rFonts w:ascii="Arial" w:eastAsiaTheme="majorEastAsia" w:hAnsi="Arial" w:cstheme="majorBidi"/>
      <w:sz w:val="30"/>
      <w:szCs w:val="30"/>
    </w:rPr>
  </w:style>
  <w:style w:type="character" w:styleId="Strong">
    <w:name w:val="Strong"/>
    <w:basedOn w:val="DefaultParagraphFont"/>
    <w:uiPriority w:val="22"/>
    <w:qFormat/>
    <w:rsid w:val="005D3352"/>
    <w:rPr>
      <w:b/>
      <w:bCs/>
    </w:rPr>
  </w:style>
  <w:style w:type="character" w:styleId="Emphasis">
    <w:name w:val="Emphasis"/>
    <w:basedOn w:val="DefaultParagraphFont"/>
    <w:uiPriority w:val="20"/>
    <w:qFormat/>
    <w:rsid w:val="005D3352"/>
    <w:rPr>
      <w:i/>
      <w:iCs/>
    </w:rPr>
  </w:style>
  <w:style w:type="paragraph" w:styleId="NoSpacing">
    <w:name w:val="No Spacing"/>
    <w:uiPriority w:val="1"/>
    <w:rsid w:val="00655509"/>
    <w:pPr>
      <w:spacing w:after="0" w:line="240" w:lineRule="auto"/>
    </w:pPr>
    <w:rPr>
      <w:rFonts w:ascii="Arial" w:hAnsi="Arial"/>
    </w:rPr>
  </w:style>
  <w:style w:type="paragraph" w:styleId="Quote">
    <w:name w:val="Quote"/>
    <w:basedOn w:val="Normal"/>
    <w:next w:val="Normal"/>
    <w:link w:val="QuoteChar"/>
    <w:uiPriority w:val="29"/>
    <w:qFormat/>
    <w:rsid w:val="001B654B"/>
    <w:pPr>
      <w:spacing w:before="240" w:after="240" w:line="252" w:lineRule="auto"/>
      <w:ind w:left="720" w:right="864"/>
    </w:pPr>
    <w:rPr>
      <w:rFonts w:ascii="Times New Roman" w:hAnsi="Times New Roman"/>
      <w:i/>
      <w:iCs/>
      <w:color w:val="007A6D" w:themeColor="accent4"/>
    </w:rPr>
  </w:style>
  <w:style w:type="character" w:customStyle="1" w:styleId="QuoteChar">
    <w:name w:val="Quote Char"/>
    <w:basedOn w:val="DefaultParagraphFont"/>
    <w:link w:val="Quote"/>
    <w:uiPriority w:val="29"/>
    <w:rsid w:val="001B654B"/>
    <w:rPr>
      <w:rFonts w:ascii="Times New Roman" w:hAnsi="Times New Roman"/>
      <w:i/>
      <w:iCs/>
      <w:color w:val="007A6D" w:themeColor="accent4"/>
      <w:sz w:val="18"/>
    </w:rPr>
  </w:style>
  <w:style w:type="paragraph" w:styleId="IntenseQuote">
    <w:name w:val="Intense Quote"/>
    <w:basedOn w:val="Normal"/>
    <w:next w:val="Normal"/>
    <w:link w:val="IntenseQuoteChar"/>
    <w:uiPriority w:val="30"/>
    <w:qFormat/>
    <w:rsid w:val="001B654B"/>
    <w:pPr>
      <w:pBdr>
        <w:top w:val="single" w:sz="12" w:space="8" w:color="007A6D" w:themeColor="accent4"/>
        <w:bottom w:val="single" w:sz="12" w:space="8" w:color="007A6D" w:themeColor="accent4"/>
      </w:pBdr>
      <w:spacing w:before="100" w:beforeAutospacing="1" w:after="240"/>
      <w:ind w:right="864"/>
    </w:pPr>
    <w:rPr>
      <w:rFonts w:ascii="Times New Roman" w:eastAsiaTheme="majorEastAsia" w:hAnsi="Times New Roman" w:cstheme="majorBidi"/>
      <w:b/>
      <w:i/>
      <w:color w:val="007A6D" w:themeColor="accent4"/>
      <w:sz w:val="24"/>
      <w:szCs w:val="28"/>
    </w:rPr>
  </w:style>
  <w:style w:type="character" w:customStyle="1" w:styleId="IntenseQuoteChar">
    <w:name w:val="Intense Quote Char"/>
    <w:basedOn w:val="DefaultParagraphFont"/>
    <w:link w:val="IntenseQuote"/>
    <w:uiPriority w:val="30"/>
    <w:rsid w:val="001B654B"/>
    <w:rPr>
      <w:rFonts w:ascii="Times New Roman" w:eastAsiaTheme="majorEastAsia" w:hAnsi="Times New Roman" w:cstheme="majorBidi"/>
      <w:b/>
      <w:i/>
      <w:color w:val="007A6D" w:themeColor="accent4"/>
      <w:sz w:val="24"/>
      <w:szCs w:val="28"/>
    </w:rPr>
  </w:style>
  <w:style w:type="character" w:styleId="SubtleEmphasis">
    <w:name w:val="Subtle Emphasis"/>
    <w:basedOn w:val="DefaultParagraphFont"/>
    <w:uiPriority w:val="19"/>
    <w:rsid w:val="005D3352"/>
    <w:rPr>
      <w:i/>
      <w:iCs/>
      <w:color w:val="595959" w:themeColor="text1" w:themeTint="A6"/>
    </w:rPr>
  </w:style>
  <w:style w:type="character" w:styleId="IntenseEmphasis">
    <w:name w:val="Intense Emphasis"/>
    <w:basedOn w:val="DefaultParagraphFont"/>
    <w:uiPriority w:val="21"/>
    <w:qFormat/>
    <w:rsid w:val="005D3352"/>
    <w:rPr>
      <w:b/>
      <w:bCs/>
      <w:i/>
      <w:iCs/>
    </w:rPr>
  </w:style>
  <w:style w:type="character" w:styleId="SubtleReference">
    <w:name w:val="Subtle Reference"/>
    <w:basedOn w:val="DefaultParagraphFont"/>
    <w:uiPriority w:val="31"/>
    <w:rsid w:val="005D3352"/>
    <w:rPr>
      <w:smallCaps/>
      <w:color w:val="404040" w:themeColor="text1" w:themeTint="BF"/>
    </w:rPr>
  </w:style>
  <w:style w:type="character" w:styleId="IntenseReference">
    <w:name w:val="Intense Reference"/>
    <w:basedOn w:val="DefaultParagraphFont"/>
    <w:uiPriority w:val="32"/>
    <w:rsid w:val="005D3352"/>
    <w:rPr>
      <w:b/>
      <w:bCs/>
      <w:smallCaps/>
      <w:u w:val="single"/>
    </w:rPr>
  </w:style>
  <w:style w:type="character" w:styleId="BookTitle">
    <w:name w:val="Book Title"/>
    <w:basedOn w:val="DefaultParagraphFont"/>
    <w:uiPriority w:val="33"/>
    <w:rsid w:val="005D3352"/>
    <w:rPr>
      <w:b/>
      <w:bCs/>
      <w:smallCaps/>
    </w:rPr>
  </w:style>
  <w:style w:type="paragraph" w:styleId="TOCHeading">
    <w:name w:val="TOC Heading"/>
    <w:basedOn w:val="Heading1"/>
    <w:next w:val="Normal"/>
    <w:uiPriority w:val="39"/>
    <w:unhideWhenUsed/>
    <w:rsid w:val="005D3352"/>
    <w:pPr>
      <w:outlineLvl w:val="9"/>
    </w:pPr>
  </w:style>
  <w:style w:type="paragraph" w:styleId="Header">
    <w:name w:val="header"/>
    <w:basedOn w:val="Normal"/>
    <w:link w:val="HeaderChar"/>
    <w:uiPriority w:val="99"/>
    <w:unhideWhenUsed/>
    <w:rsid w:val="00DC3D30"/>
    <w:pPr>
      <w:tabs>
        <w:tab w:val="center" w:pos="4513"/>
        <w:tab w:val="right" w:pos="9026"/>
      </w:tabs>
      <w:spacing w:after="0" w:line="240" w:lineRule="auto"/>
    </w:pPr>
    <w:rPr>
      <w:b/>
      <w:color w:val="28695B" w:themeColor="accent1" w:themeShade="80"/>
    </w:rPr>
  </w:style>
  <w:style w:type="character" w:customStyle="1" w:styleId="HeaderChar">
    <w:name w:val="Header Char"/>
    <w:basedOn w:val="DefaultParagraphFont"/>
    <w:link w:val="Header"/>
    <w:uiPriority w:val="99"/>
    <w:rsid w:val="00DC3D30"/>
    <w:rPr>
      <w:rFonts w:ascii="Arial" w:hAnsi="Arial"/>
      <w:b/>
      <w:color w:val="28695B" w:themeColor="accent1" w:themeShade="80"/>
      <w:sz w:val="16"/>
    </w:rPr>
  </w:style>
  <w:style w:type="paragraph" w:styleId="Footer">
    <w:name w:val="footer"/>
    <w:basedOn w:val="Normal"/>
    <w:link w:val="FooterChar"/>
    <w:uiPriority w:val="99"/>
    <w:unhideWhenUsed/>
    <w:rsid w:val="00DC3D30"/>
    <w:pPr>
      <w:tabs>
        <w:tab w:val="center" w:pos="4513"/>
        <w:tab w:val="right" w:pos="9026"/>
      </w:tabs>
      <w:spacing w:after="0" w:line="240" w:lineRule="auto"/>
    </w:pPr>
    <w:rPr>
      <w:b/>
      <w:color w:val="28695B" w:themeColor="accent1" w:themeShade="80"/>
    </w:rPr>
  </w:style>
  <w:style w:type="character" w:customStyle="1" w:styleId="FooterChar">
    <w:name w:val="Footer Char"/>
    <w:basedOn w:val="DefaultParagraphFont"/>
    <w:link w:val="Footer"/>
    <w:uiPriority w:val="99"/>
    <w:rsid w:val="00DC3D30"/>
    <w:rPr>
      <w:rFonts w:ascii="Arial" w:hAnsi="Arial"/>
      <w:b/>
      <w:color w:val="28695B" w:themeColor="accent1" w:themeShade="80"/>
      <w:sz w:val="16"/>
    </w:rPr>
  </w:style>
  <w:style w:type="character" w:styleId="PlaceholderText">
    <w:name w:val="Placeholder Text"/>
    <w:basedOn w:val="DefaultParagraphFont"/>
    <w:uiPriority w:val="99"/>
    <w:semiHidden/>
    <w:rsid w:val="005744C6"/>
    <w:rPr>
      <w:color w:val="808080"/>
    </w:rPr>
  </w:style>
  <w:style w:type="paragraph" w:styleId="ListParagraph">
    <w:name w:val="List Paragraph"/>
    <w:basedOn w:val="Normal"/>
    <w:link w:val="ListParagraphChar"/>
    <w:uiPriority w:val="1"/>
    <w:qFormat/>
    <w:rsid w:val="003554E2"/>
    <w:pPr>
      <w:ind w:left="720"/>
      <w:contextualSpacing/>
    </w:pPr>
  </w:style>
  <w:style w:type="character" w:customStyle="1" w:styleId="DocTitle">
    <w:name w:val="DocTitle"/>
    <w:basedOn w:val="DefaultParagraphFont"/>
    <w:rsid w:val="00252C65"/>
  </w:style>
  <w:style w:type="paragraph" w:customStyle="1" w:styleId="Bullets1">
    <w:name w:val="Bullets 1"/>
    <w:basedOn w:val="ListParagraph"/>
    <w:link w:val="Bullets1Char"/>
    <w:qFormat/>
    <w:rsid w:val="001F5192"/>
    <w:pPr>
      <w:numPr>
        <w:numId w:val="4"/>
      </w:numPr>
    </w:pPr>
    <w:rPr>
      <w:rFonts w:eastAsiaTheme="majorEastAsia"/>
    </w:rPr>
  </w:style>
  <w:style w:type="paragraph" w:customStyle="1" w:styleId="Heading1-column2">
    <w:name w:val="Heading 1 - column 2"/>
    <w:basedOn w:val="Heading1"/>
    <w:link w:val="Heading1-column2Char"/>
    <w:rsid w:val="00B0493A"/>
  </w:style>
  <w:style w:type="character" w:customStyle="1" w:styleId="ListParagraphChar">
    <w:name w:val="List Paragraph Char"/>
    <w:basedOn w:val="DefaultParagraphFont"/>
    <w:link w:val="ListParagraph"/>
    <w:uiPriority w:val="34"/>
    <w:rsid w:val="001F5192"/>
    <w:rPr>
      <w:rFonts w:ascii="Arial" w:hAnsi="Arial"/>
      <w:sz w:val="16"/>
    </w:rPr>
  </w:style>
  <w:style w:type="character" w:customStyle="1" w:styleId="Bullets1Char">
    <w:name w:val="Bullets 1 Char"/>
    <w:basedOn w:val="ListParagraphChar"/>
    <w:link w:val="Bullets1"/>
    <w:rsid w:val="001F5192"/>
    <w:rPr>
      <w:rFonts w:ascii="Arial" w:eastAsiaTheme="majorEastAsia" w:hAnsi="Arial"/>
      <w:sz w:val="16"/>
    </w:rPr>
  </w:style>
  <w:style w:type="paragraph" w:customStyle="1" w:styleId="Footer1">
    <w:name w:val="Footer 1"/>
    <w:basedOn w:val="Footer"/>
    <w:link w:val="Footer1Char"/>
    <w:rsid w:val="00AE3F51"/>
    <w:pPr>
      <w:jc w:val="both"/>
    </w:pPr>
    <w:rPr>
      <w:b w:val="0"/>
      <w:noProof/>
      <w:color w:val="3B9D87" w:themeColor="accent1" w:themeShade="BF"/>
    </w:rPr>
  </w:style>
  <w:style w:type="character" w:customStyle="1" w:styleId="Heading1-column2Char">
    <w:name w:val="Heading 1 - column 2 Char"/>
    <w:basedOn w:val="Heading1Char"/>
    <w:link w:val="Heading1-column2"/>
    <w:rsid w:val="00B0493A"/>
    <w:rPr>
      <w:rFonts w:ascii="Arial" w:eastAsiaTheme="majorEastAsia" w:hAnsi="Arial" w:cstheme="majorBidi"/>
      <w:b/>
      <w:sz w:val="36"/>
      <w:szCs w:val="36"/>
    </w:rPr>
  </w:style>
  <w:style w:type="character" w:styleId="Hyperlink">
    <w:name w:val="Hyperlink"/>
    <w:basedOn w:val="DefaultParagraphFont"/>
    <w:uiPriority w:val="99"/>
    <w:unhideWhenUsed/>
    <w:rsid w:val="00BA2C15"/>
    <w:rPr>
      <w:b/>
      <w:color w:val="28695B" w:themeColor="accent1" w:themeShade="80"/>
      <w:u w:val="single"/>
    </w:rPr>
  </w:style>
  <w:style w:type="character" w:customStyle="1" w:styleId="Footer1Char">
    <w:name w:val="Footer 1 Char"/>
    <w:basedOn w:val="FooterChar"/>
    <w:link w:val="Footer1"/>
    <w:rsid w:val="00AE3F51"/>
    <w:rPr>
      <w:rFonts w:ascii="Arial" w:hAnsi="Arial"/>
      <w:b w:val="0"/>
      <w:noProof/>
      <w:color w:val="3B9D87" w:themeColor="accent1" w:themeShade="BF"/>
      <w:sz w:val="16"/>
    </w:rPr>
  </w:style>
  <w:style w:type="character" w:styleId="UnresolvedMention">
    <w:name w:val="Unresolved Mention"/>
    <w:basedOn w:val="DefaultParagraphFont"/>
    <w:uiPriority w:val="99"/>
    <w:semiHidden/>
    <w:unhideWhenUsed/>
    <w:rsid w:val="00BA4901"/>
    <w:rPr>
      <w:color w:val="605E5C"/>
      <w:shd w:val="clear" w:color="auto" w:fill="E1DFDD"/>
    </w:rPr>
  </w:style>
  <w:style w:type="paragraph" w:styleId="TOC1">
    <w:name w:val="toc 1"/>
    <w:basedOn w:val="Normal"/>
    <w:next w:val="Normal"/>
    <w:autoRedefine/>
    <w:uiPriority w:val="39"/>
    <w:unhideWhenUsed/>
    <w:rsid w:val="00440501"/>
    <w:pPr>
      <w:spacing w:after="100"/>
    </w:pPr>
  </w:style>
  <w:style w:type="paragraph" w:styleId="TOC2">
    <w:name w:val="toc 2"/>
    <w:basedOn w:val="Normal"/>
    <w:next w:val="Normal"/>
    <w:autoRedefine/>
    <w:uiPriority w:val="39"/>
    <w:unhideWhenUsed/>
    <w:rsid w:val="00440501"/>
    <w:pPr>
      <w:spacing w:after="100"/>
      <w:ind w:left="180"/>
    </w:pPr>
  </w:style>
  <w:style w:type="paragraph" w:styleId="TOC3">
    <w:name w:val="toc 3"/>
    <w:basedOn w:val="Normal"/>
    <w:next w:val="Normal"/>
    <w:autoRedefine/>
    <w:uiPriority w:val="39"/>
    <w:unhideWhenUsed/>
    <w:rsid w:val="00440501"/>
    <w:pPr>
      <w:spacing w:after="100"/>
      <w:ind w:left="360"/>
    </w:pPr>
  </w:style>
  <w:style w:type="paragraph" w:styleId="BodyText">
    <w:name w:val="Body Text"/>
    <w:basedOn w:val="Normal"/>
    <w:link w:val="BodyTextChar"/>
    <w:uiPriority w:val="1"/>
    <w:qFormat/>
    <w:rsid w:val="00407780"/>
    <w:pPr>
      <w:spacing w:before="120" w:line="276" w:lineRule="auto"/>
    </w:pPr>
    <w:rPr>
      <w:rFonts w:eastAsia="Times New Roman" w:cs="Times New Roman"/>
      <w:sz w:val="22"/>
      <w:szCs w:val="24"/>
      <w:lang w:eastAsia="en-AU"/>
    </w:rPr>
  </w:style>
  <w:style w:type="character" w:customStyle="1" w:styleId="BodyTextChar">
    <w:name w:val="Body Text Char"/>
    <w:basedOn w:val="DefaultParagraphFont"/>
    <w:link w:val="BodyText"/>
    <w:rsid w:val="00407780"/>
    <w:rPr>
      <w:rFonts w:ascii="Arial" w:eastAsia="Times New Roman" w:hAnsi="Arial" w:cs="Times New Roman"/>
      <w:sz w:val="22"/>
      <w:szCs w:val="24"/>
      <w:lang w:eastAsia="en-AU"/>
    </w:rPr>
  </w:style>
  <w:style w:type="table" w:styleId="TableGrid">
    <w:name w:val="Table Grid"/>
    <w:basedOn w:val="TableNormal"/>
    <w:uiPriority w:val="39"/>
    <w:rsid w:val="004F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D54591"/>
    <w:pPr>
      <w:spacing w:after="0" w:line="240" w:lineRule="auto"/>
    </w:pPr>
    <w:tblPr>
      <w:tblStyleRowBandSize w:val="1"/>
      <w:tblStyleColBandSize w:val="1"/>
    </w:tblPr>
    <w:tblStylePr w:type="firstRow">
      <w:rPr>
        <w:b/>
        <w:bCs/>
      </w:rPr>
      <w:tblPr/>
      <w:tcPr>
        <w:tcBorders>
          <w:bottom w:val="single" w:sz="4" w:space="0" w:color="9FDBCD" w:themeColor="accent1" w:themeTint="99"/>
        </w:tcBorders>
      </w:tcPr>
    </w:tblStylePr>
    <w:tblStylePr w:type="lastRow">
      <w:rPr>
        <w:b/>
        <w:bCs/>
      </w:rPr>
      <w:tblPr/>
      <w:tcPr>
        <w:tcBorders>
          <w:top w:val="single" w:sz="4" w:space="0" w:color="9FDBCD" w:themeColor="accent1" w:themeTint="99"/>
        </w:tcBorders>
      </w:tcPr>
    </w:tblStylePr>
    <w:tblStylePr w:type="firstCol">
      <w:rPr>
        <w:b/>
        <w:bCs/>
      </w:rPr>
    </w:tblStylePr>
    <w:tblStylePr w:type="lastCol">
      <w:rPr>
        <w:b/>
        <w:bCs/>
      </w:rPr>
    </w:tblStylePr>
    <w:tblStylePr w:type="band1Vert">
      <w:tblPr/>
      <w:tcPr>
        <w:shd w:val="clear" w:color="auto" w:fill="DFF3EE" w:themeFill="accent1" w:themeFillTint="33"/>
      </w:tcPr>
    </w:tblStylePr>
    <w:tblStylePr w:type="band1Horz">
      <w:tblPr/>
      <w:tcPr>
        <w:shd w:val="clear" w:color="auto" w:fill="DFF3EE" w:themeFill="accent1" w:themeFillTint="33"/>
      </w:tcPr>
    </w:tblStylePr>
  </w:style>
  <w:style w:type="paragraph" w:customStyle="1" w:styleId="Bodystrong">
    <w:name w:val="Body strong"/>
    <w:basedOn w:val="Normal"/>
    <w:next w:val="Normal"/>
    <w:link w:val="BodystrongChar"/>
    <w:qFormat/>
    <w:rsid w:val="00270F5D"/>
    <w:rPr>
      <w:b/>
    </w:rPr>
  </w:style>
  <w:style w:type="paragraph" w:customStyle="1" w:styleId="Numberedlist">
    <w:name w:val="Numbered list"/>
    <w:basedOn w:val="ListParagraph"/>
    <w:link w:val="NumberedlistChar"/>
    <w:qFormat/>
    <w:rsid w:val="002A3393"/>
    <w:pPr>
      <w:numPr>
        <w:numId w:val="5"/>
      </w:numPr>
      <w:ind w:left="426" w:hanging="284"/>
    </w:pPr>
    <w:rPr>
      <w:rFonts w:eastAsiaTheme="majorEastAsia"/>
    </w:rPr>
  </w:style>
  <w:style w:type="character" w:customStyle="1" w:styleId="BodystrongChar">
    <w:name w:val="Body strong Char"/>
    <w:basedOn w:val="DefaultParagraphFont"/>
    <w:link w:val="Bodystrong"/>
    <w:rsid w:val="00270F5D"/>
    <w:rPr>
      <w:rFonts w:ascii="Arial" w:hAnsi="Arial"/>
      <w:b/>
      <w:sz w:val="18"/>
    </w:rPr>
  </w:style>
  <w:style w:type="character" w:customStyle="1" w:styleId="NumberedlistChar">
    <w:name w:val="Numbered list Char"/>
    <w:basedOn w:val="ListParagraphChar"/>
    <w:link w:val="Numberedlist"/>
    <w:rsid w:val="002A3393"/>
    <w:rPr>
      <w:rFonts w:ascii="Arial" w:eastAsiaTheme="majorEastAsia" w:hAnsi="Arial"/>
      <w:sz w:val="18"/>
    </w:rPr>
  </w:style>
  <w:style w:type="paragraph" w:customStyle="1" w:styleId="Bullets2">
    <w:name w:val="Bullets 2"/>
    <w:basedOn w:val="Bullets1"/>
    <w:link w:val="Bullets2Char"/>
    <w:qFormat/>
    <w:rsid w:val="00D9487D"/>
    <w:pPr>
      <w:numPr>
        <w:ilvl w:val="1"/>
      </w:numPr>
    </w:pPr>
  </w:style>
  <w:style w:type="character" w:customStyle="1" w:styleId="Bullets2Char">
    <w:name w:val="Bullets 2 Char"/>
    <w:basedOn w:val="Bullets1Char"/>
    <w:link w:val="Bullets2"/>
    <w:rsid w:val="00D9487D"/>
    <w:rPr>
      <w:rFonts w:ascii="Arial" w:eastAsiaTheme="majorEastAsia" w:hAnsi="Arial"/>
      <w:sz w:val="18"/>
    </w:rPr>
  </w:style>
  <w:style w:type="paragraph" w:customStyle="1" w:styleId="Strongbody">
    <w:name w:val="Strong body"/>
    <w:basedOn w:val="Normal"/>
    <w:next w:val="Normal"/>
    <w:link w:val="StrongbodyChar"/>
    <w:rsid w:val="0026556A"/>
    <w:rPr>
      <w:b/>
    </w:rPr>
  </w:style>
  <w:style w:type="character" w:customStyle="1" w:styleId="StrongbodyChar">
    <w:name w:val="Strong body Char"/>
    <w:basedOn w:val="DefaultParagraphFont"/>
    <w:link w:val="Strongbody"/>
    <w:rsid w:val="0026556A"/>
    <w:rPr>
      <w:rFonts w:ascii="Arial" w:hAnsi="Arial"/>
      <w:b/>
      <w:sz w:val="18"/>
    </w:rPr>
  </w:style>
  <w:style w:type="paragraph" w:customStyle="1" w:styleId="Numberedlist2">
    <w:name w:val="Numbered list 2"/>
    <w:basedOn w:val="Numberedlist"/>
    <w:link w:val="Numberedlist2Char"/>
    <w:qFormat/>
    <w:rsid w:val="004B28A6"/>
    <w:pPr>
      <w:keepNext/>
      <w:keepLines/>
      <w:numPr>
        <w:ilvl w:val="1"/>
        <w:numId w:val="6"/>
      </w:numPr>
      <w:spacing w:before="80" w:after="0" w:line="240" w:lineRule="auto"/>
      <w:contextualSpacing w:val="0"/>
      <w:outlineLvl w:val="2"/>
    </w:pPr>
  </w:style>
  <w:style w:type="character" w:customStyle="1" w:styleId="Numberedlist2Char">
    <w:name w:val="Numbered list 2 Char"/>
    <w:basedOn w:val="NumberedlistChar"/>
    <w:link w:val="Numberedlist2"/>
    <w:rsid w:val="004B28A6"/>
    <w:rPr>
      <w:rFonts w:ascii="Arial" w:eastAsiaTheme="majorEastAsia" w:hAnsi="Arial"/>
      <w:sz w:val="18"/>
    </w:rPr>
  </w:style>
  <w:style w:type="paragraph" w:customStyle="1" w:styleId="TableParagraph">
    <w:name w:val="Table Paragraph"/>
    <w:basedOn w:val="Normal"/>
    <w:uiPriority w:val="1"/>
    <w:qFormat/>
    <w:rsid w:val="00546066"/>
    <w:pPr>
      <w:widowControl w:val="0"/>
      <w:autoSpaceDE w:val="0"/>
      <w:autoSpaceDN w:val="0"/>
      <w:spacing w:after="0" w:line="240" w:lineRule="auto"/>
      <w:ind w:left="107"/>
    </w:pPr>
    <w:rPr>
      <w:rFonts w:eastAsia="Arial" w:cs="Arial"/>
      <w:sz w:val="22"/>
      <w:szCs w:val="22"/>
      <w:lang w:eastAsia="en-AU" w:bidi="en-AU"/>
    </w:rPr>
  </w:style>
  <w:style w:type="paragraph" w:styleId="BalloonText">
    <w:name w:val="Balloon Text"/>
    <w:basedOn w:val="Normal"/>
    <w:link w:val="BalloonTextChar"/>
    <w:uiPriority w:val="99"/>
    <w:semiHidden/>
    <w:unhideWhenUsed/>
    <w:rsid w:val="00B87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29F"/>
    <w:rPr>
      <w:rFonts w:ascii="Segoe UI" w:hAnsi="Segoe UI" w:cs="Segoe UI"/>
      <w:sz w:val="18"/>
      <w:szCs w:val="18"/>
    </w:rPr>
  </w:style>
  <w:style w:type="character" w:styleId="FollowedHyperlink">
    <w:name w:val="FollowedHyperlink"/>
    <w:basedOn w:val="DefaultParagraphFont"/>
    <w:uiPriority w:val="99"/>
    <w:semiHidden/>
    <w:unhideWhenUsed/>
    <w:rsid w:val="000837F0"/>
    <w:rPr>
      <w:color w:val="60C3A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1511">
      <w:bodyDiv w:val="1"/>
      <w:marLeft w:val="0"/>
      <w:marRight w:val="0"/>
      <w:marTop w:val="0"/>
      <w:marBottom w:val="0"/>
      <w:divBdr>
        <w:top w:val="none" w:sz="0" w:space="0" w:color="auto"/>
        <w:left w:val="none" w:sz="0" w:space="0" w:color="auto"/>
        <w:bottom w:val="none" w:sz="0" w:space="0" w:color="auto"/>
        <w:right w:val="none" w:sz="0" w:space="0" w:color="auto"/>
      </w:divBdr>
    </w:div>
    <w:div w:id="665549707">
      <w:bodyDiv w:val="1"/>
      <w:marLeft w:val="0"/>
      <w:marRight w:val="0"/>
      <w:marTop w:val="0"/>
      <w:marBottom w:val="0"/>
      <w:divBdr>
        <w:top w:val="none" w:sz="0" w:space="0" w:color="auto"/>
        <w:left w:val="none" w:sz="0" w:space="0" w:color="auto"/>
        <w:bottom w:val="none" w:sz="0" w:space="0" w:color="auto"/>
        <w:right w:val="none" w:sz="0" w:space="0" w:color="auto"/>
      </w:divBdr>
    </w:div>
    <w:div w:id="19143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ission.psc@psc.qld.gov.au" TargetMode="External"/><Relationship Id="rId18" Type="http://schemas.openxmlformats.org/officeDocument/2006/relationships/hyperlink" Target="http://www.qhrc.qld.gov.au/complain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qld.gov.au/about/how-government-works/government-structure/public-service-commission" TargetMode="External"/><Relationship Id="rId17" Type="http://schemas.openxmlformats.org/officeDocument/2006/relationships/hyperlink" Target="https://www.qhrc.qld.gov.au/complai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ic.qld.gov.au/about/privacy/privacy-complai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ld.gov.au/about/how-government-works/government-structure/public-service-commission/contact/compliments-complaints.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ombudsman@ombudsman.qld.gov.a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forgov.qld.gov.au/system/files/schedules/general-retention-and-disposal-schedule-grds.doc?v=14942199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ld.gov.au/about/how-government-works/government-structure/public-service-commission/contact/compliments-complaints.html"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ussaintb\OneDrive%20-%20Department%20of%20the%20Premier%20and%20Cabinet\Microsoft%20Word%20templates\PSC_Directive_template.dotx" TargetMode="External"/></Relationships>
</file>

<file path=word/theme/theme1.xml><?xml version="1.0" encoding="utf-8"?>
<a:theme xmlns:a="http://schemas.openxmlformats.org/drawingml/2006/main" name="Office Theme">
  <a:themeElements>
    <a:clrScheme name="PSC colour palett">
      <a:dk1>
        <a:sysClr val="windowText" lastClr="000000"/>
      </a:dk1>
      <a:lt1>
        <a:sysClr val="window" lastClr="FFFFFF"/>
      </a:lt1>
      <a:dk2>
        <a:srgbClr val="44546A"/>
      </a:dk2>
      <a:lt2>
        <a:srgbClr val="E7E6E6"/>
      </a:lt2>
      <a:accent1>
        <a:srgbClr val="60C3AD"/>
      </a:accent1>
      <a:accent2>
        <a:srgbClr val="97D5C9"/>
      </a:accent2>
      <a:accent3>
        <a:srgbClr val="CBE8DD"/>
      </a:accent3>
      <a:accent4>
        <a:srgbClr val="007A6D"/>
      </a:accent4>
      <a:accent5>
        <a:srgbClr val="F15B67"/>
      </a:accent5>
      <a:accent6>
        <a:srgbClr val="F8ABA6"/>
      </a:accent6>
      <a:hlink>
        <a:srgbClr val="007A6D"/>
      </a:hlink>
      <a:folHlink>
        <a:srgbClr val="60C3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31B114A75A0439939CA67C05580D2" ma:contentTypeVersion="8" ma:contentTypeDescription="Create a new document." ma:contentTypeScope="" ma:versionID="f414b7fc2cf250e1abdc4246784133e3">
  <xsd:schema xmlns:xsd="http://www.w3.org/2001/XMLSchema" xmlns:xs="http://www.w3.org/2001/XMLSchema" xmlns:p="http://schemas.microsoft.com/office/2006/metadata/properties" xmlns:ns3="9e1a4f69-4aaa-4a1f-b370-4ab77c34096a" targetNamespace="http://schemas.microsoft.com/office/2006/metadata/properties" ma:root="true" ma:fieldsID="f505b075c684bccaddb243bc36bcf698" ns3:_="">
    <xsd:import namespace="9e1a4f69-4aaa-4a1f-b370-4ab77c340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a4f69-4aaa-4a1f-b370-4ab77c340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CFF23-AFBD-4E5B-AB8D-B61E194EF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a4f69-4aaa-4a1f-b370-4ab77c340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8650B-8723-4972-A1D7-3B204AD31E84}">
  <ds:schemaRefs>
    <ds:schemaRef ds:uri="http://purl.org/dc/elements/1.1/"/>
    <ds:schemaRef ds:uri="http://schemas.microsoft.com/office/2006/metadata/properties"/>
    <ds:schemaRef ds:uri="9e1a4f69-4aaa-4a1f-b370-4ab77c34096a"/>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10367EC9-977B-4044-B547-CC81C6EE390F}">
  <ds:schemaRefs>
    <ds:schemaRef ds:uri="http://schemas.microsoft.com/sharepoint/v3/contenttype/forms"/>
  </ds:schemaRefs>
</ds:datastoreItem>
</file>

<file path=customXml/itemProps4.xml><?xml version="1.0" encoding="utf-8"?>
<ds:datastoreItem xmlns:ds="http://schemas.openxmlformats.org/officeDocument/2006/customXml" ds:itemID="{BB4EFBD2-B5D4-43BE-A9E7-CA805F26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PSC_Directive_template.dotx</Template>
  <TotalTime>4</TotalTime>
  <Pages>7</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Insert title</vt:lpstr>
    </vt:vector>
  </TitlesOfParts>
  <Company>Public Service Commission</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Commission Customer Complaints</dc:title>
  <dc:subject>Public Service Commission Customer Complaints</dc:subject>
  <dc:creator>Public Service Commission</dc:creator>
  <cp:keywords>Public Service Commission Customer Complaints</cp:keywords>
  <dc:description/>
  <cp:lastModifiedBy>Ben Toussaint</cp:lastModifiedBy>
  <cp:revision>4</cp:revision>
  <dcterms:created xsi:type="dcterms:W3CDTF">2020-01-15T05:14:00Z</dcterms:created>
  <dcterms:modified xsi:type="dcterms:W3CDTF">2020-01-16T00:22:00Z</dcterms:modified>
  <cp:category>Public Service Commission Customer Complaints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0x01010080631B114A75A0439939CA67C05580D2</vt:lpwstr>
  </property>
</Properties>
</file>