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CB" w:rsidRDefault="000B0ACB" w:rsidP="000B0ACB">
      <w:pPr>
        <w:pStyle w:val="Heading2"/>
        <w:rPr>
          <w:b w:val="0"/>
          <w:sz w:val="24"/>
        </w:rPr>
      </w:pPr>
      <w:r w:rsidRPr="000B0ACB">
        <w:rPr>
          <w:b w:val="0"/>
          <w:sz w:val="24"/>
        </w:rPr>
        <w:t>Sexual Violence Prevention Grants – funded activities</w:t>
      </w:r>
    </w:p>
    <w:p w:rsidR="00163163" w:rsidRPr="00163163" w:rsidRDefault="00163163" w:rsidP="00163163">
      <w:r w:rsidRPr="00163163">
        <w:t>March – April 2019</w:t>
      </w:r>
    </w:p>
    <w:p w:rsidR="000B0ACB" w:rsidRDefault="000B0ACB"/>
    <w:tbl>
      <w:tblPr>
        <w:tblStyle w:val="TableGridLight"/>
        <w:tblW w:w="92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7"/>
        <w:gridCol w:w="5103"/>
        <w:gridCol w:w="1629"/>
      </w:tblGrid>
      <w:tr w:rsidR="000B0ACB" w:rsidTr="00163163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:rsidR="000B0ACB" w:rsidRPr="00163163" w:rsidRDefault="000B0ACB" w:rsidP="00441F9C">
            <w:pPr>
              <w:spacing w:before="0" w:after="0"/>
              <w:rPr>
                <w:b/>
                <w:sz w:val="20"/>
                <w:szCs w:val="20"/>
              </w:rPr>
            </w:pPr>
            <w:r w:rsidRPr="00163163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0B0ACB" w:rsidRPr="00163163" w:rsidRDefault="000B0ACB" w:rsidP="00441F9C">
            <w:pPr>
              <w:spacing w:before="0" w:after="0"/>
              <w:rPr>
                <w:b/>
                <w:sz w:val="20"/>
                <w:szCs w:val="20"/>
              </w:rPr>
            </w:pPr>
            <w:r w:rsidRPr="0016316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629" w:type="dxa"/>
            <w:shd w:val="clear" w:color="auto" w:fill="BFBFBF" w:themeFill="background1" w:themeFillShade="BF"/>
          </w:tcPr>
          <w:p w:rsidR="000B0ACB" w:rsidRPr="00163163" w:rsidRDefault="000B0ACB" w:rsidP="00441F9C">
            <w:pPr>
              <w:spacing w:before="0" w:after="0"/>
              <w:rPr>
                <w:b/>
                <w:sz w:val="20"/>
                <w:szCs w:val="20"/>
              </w:rPr>
            </w:pPr>
            <w:r w:rsidRPr="00163163">
              <w:rPr>
                <w:b/>
                <w:sz w:val="20"/>
                <w:szCs w:val="20"/>
              </w:rPr>
              <w:t>Location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441F9C">
            <w:pPr>
              <w:spacing w:before="0" w:after="0"/>
              <w:rPr>
                <w:b/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Queensland Sexual Assault Network (QSAN)</w:t>
            </w:r>
          </w:p>
        </w:tc>
        <w:tc>
          <w:tcPr>
            <w:tcW w:w="5103" w:type="dxa"/>
          </w:tcPr>
          <w:p w:rsidR="000B0ACB" w:rsidRPr="00DA54AD" w:rsidRDefault="000B0ACB" w:rsidP="00441F9C">
            <w:pPr>
              <w:spacing w:before="0" w:after="0"/>
              <w:rPr>
                <w:b/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Develop</w:t>
            </w:r>
            <w:r w:rsidR="00441F9C">
              <w:rPr>
                <w:sz w:val="18"/>
                <w:szCs w:val="18"/>
              </w:rPr>
              <w:t>ed</w:t>
            </w:r>
            <w:r w:rsidRPr="00DA54AD">
              <w:rPr>
                <w:sz w:val="18"/>
                <w:szCs w:val="18"/>
              </w:rPr>
              <w:t xml:space="preserve"> a new </w:t>
            </w:r>
            <w:hyperlink r:id="rId6" w:history="1">
              <w:r w:rsidRPr="00441F9C">
                <w:rPr>
                  <w:rStyle w:val="Hyperlink"/>
                  <w:sz w:val="18"/>
                  <w:szCs w:val="18"/>
                </w:rPr>
                <w:t>QSAN online sexual assault hub and resource</w:t>
              </w:r>
            </w:hyperlink>
            <w:r w:rsidRPr="00DA54AD">
              <w:rPr>
                <w:sz w:val="18"/>
                <w:szCs w:val="18"/>
              </w:rPr>
              <w:t xml:space="preserve"> for friends, family and community members on responding to disclosures of sexual assault</w:t>
            </w:r>
          </w:p>
        </w:tc>
        <w:tc>
          <w:tcPr>
            <w:tcW w:w="1629" w:type="dxa"/>
          </w:tcPr>
          <w:p w:rsidR="000B0ACB" w:rsidRPr="00DA54AD" w:rsidRDefault="000B0ACB" w:rsidP="00441F9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Online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441F9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Daniel Morcombe Foundation</w:t>
            </w:r>
          </w:p>
        </w:tc>
        <w:tc>
          <w:tcPr>
            <w:tcW w:w="5103" w:type="dxa"/>
          </w:tcPr>
          <w:p w:rsidR="000B0ACB" w:rsidRPr="00DA54AD" w:rsidRDefault="000B0ACB" w:rsidP="00441F9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#</w:t>
            </w:r>
            <w:proofErr w:type="spellStart"/>
            <w:r w:rsidRPr="00DA54AD">
              <w:rPr>
                <w:sz w:val="18"/>
                <w:szCs w:val="18"/>
              </w:rPr>
              <w:t>TogetherWeCan</w:t>
            </w:r>
            <w:proofErr w:type="spellEnd"/>
            <w:r w:rsidRPr="00DA54AD">
              <w:rPr>
                <w:sz w:val="18"/>
                <w:szCs w:val="18"/>
              </w:rPr>
              <w:t xml:space="preserve"> </w:t>
            </w:r>
            <w:hyperlink r:id="rId7" w:history="1">
              <w:r w:rsidRPr="001D5145">
                <w:rPr>
                  <w:rStyle w:val="Hyperlink"/>
                  <w:sz w:val="18"/>
                  <w:szCs w:val="18"/>
                </w:rPr>
                <w:t>social media campaign</w:t>
              </w:r>
            </w:hyperlink>
            <w:r w:rsidRPr="00DA54AD">
              <w:rPr>
                <w:sz w:val="18"/>
                <w:szCs w:val="18"/>
              </w:rPr>
              <w:t xml:space="preserve"> </w:t>
            </w:r>
            <w:r w:rsidR="00441F9C">
              <w:rPr>
                <w:sz w:val="18"/>
                <w:szCs w:val="18"/>
              </w:rPr>
              <w:t>ran in March and April 2019</w:t>
            </w:r>
            <w:r w:rsidR="00877DD0">
              <w:rPr>
                <w:sz w:val="18"/>
                <w:szCs w:val="18"/>
              </w:rPr>
              <w:t>, and</w:t>
            </w:r>
            <w:r w:rsidR="00441F9C">
              <w:rPr>
                <w:sz w:val="18"/>
                <w:szCs w:val="18"/>
              </w:rPr>
              <w:t xml:space="preserve"> </w:t>
            </w:r>
            <w:r w:rsidRPr="00DA54AD">
              <w:rPr>
                <w:sz w:val="18"/>
                <w:szCs w:val="18"/>
              </w:rPr>
              <w:t>focus</w:t>
            </w:r>
            <w:r w:rsidR="00441F9C">
              <w:rPr>
                <w:sz w:val="18"/>
                <w:szCs w:val="18"/>
              </w:rPr>
              <w:t>ed</w:t>
            </w:r>
            <w:r w:rsidRPr="00DA54AD">
              <w:rPr>
                <w:sz w:val="18"/>
                <w:szCs w:val="18"/>
              </w:rPr>
              <w:t xml:space="preserve"> on preventing sexual violence against children and young people</w:t>
            </w:r>
          </w:p>
        </w:tc>
        <w:tc>
          <w:tcPr>
            <w:tcW w:w="1629" w:type="dxa"/>
          </w:tcPr>
          <w:p w:rsidR="000B0ACB" w:rsidRPr="00DA54AD" w:rsidRDefault="000B0ACB" w:rsidP="00441F9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Online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441F9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WWILD Sexual Violence Prevention Association</w:t>
            </w:r>
          </w:p>
        </w:tc>
        <w:tc>
          <w:tcPr>
            <w:tcW w:w="5103" w:type="dxa"/>
          </w:tcPr>
          <w:p w:rsidR="000B0ACB" w:rsidRPr="00DA54AD" w:rsidRDefault="008E4DC4">
            <w:pPr>
              <w:spacing w:before="0" w:after="0"/>
              <w:rPr>
                <w:sz w:val="18"/>
                <w:szCs w:val="18"/>
              </w:rPr>
            </w:pPr>
            <w:hyperlink r:id="rId8" w:history="1">
              <w:r w:rsidR="000A1BCF">
                <w:rPr>
                  <w:rStyle w:val="Hyperlink"/>
                  <w:sz w:val="18"/>
                  <w:szCs w:val="18"/>
                </w:rPr>
                <w:t>‘You deserve to be safe</w:t>
              </w:r>
              <w:r w:rsidR="000B0ACB" w:rsidRPr="001D5145">
                <w:rPr>
                  <w:rStyle w:val="Hyperlink"/>
                  <w:sz w:val="18"/>
                  <w:szCs w:val="18"/>
                </w:rPr>
                <w:t>’</w:t>
              </w:r>
            </w:hyperlink>
            <w:r w:rsidR="000B0ACB" w:rsidRPr="00DA54AD">
              <w:rPr>
                <w:sz w:val="18"/>
                <w:szCs w:val="18"/>
              </w:rPr>
              <w:t xml:space="preserve"> </w:t>
            </w:r>
            <w:r w:rsidR="00441F9C">
              <w:rPr>
                <w:sz w:val="18"/>
                <w:szCs w:val="18"/>
              </w:rPr>
              <w:t>is</w:t>
            </w:r>
            <w:r w:rsidR="001D5145">
              <w:rPr>
                <w:sz w:val="18"/>
                <w:szCs w:val="18"/>
              </w:rPr>
              <w:t xml:space="preserve"> </w:t>
            </w:r>
            <w:r w:rsidR="000B0ACB" w:rsidRPr="00DA54AD">
              <w:rPr>
                <w:sz w:val="18"/>
                <w:szCs w:val="18"/>
              </w:rPr>
              <w:t>an easy-read guide</w:t>
            </w:r>
            <w:r w:rsidR="00441F9C">
              <w:rPr>
                <w:sz w:val="18"/>
                <w:szCs w:val="18"/>
              </w:rPr>
              <w:t xml:space="preserve"> developed to support people with intellectual disabilities or low literacy levels and stakeholders</w:t>
            </w:r>
            <w:r w:rsidR="000B0ACB" w:rsidRPr="00DA54AD">
              <w:rPr>
                <w:sz w:val="18"/>
                <w:szCs w:val="18"/>
              </w:rPr>
              <w:t xml:space="preserve"> on options after experiencing sexual assault </w:t>
            </w:r>
          </w:p>
        </w:tc>
        <w:tc>
          <w:tcPr>
            <w:tcW w:w="1629" w:type="dxa"/>
          </w:tcPr>
          <w:p w:rsidR="000B0ACB" w:rsidRPr="00DA54AD" w:rsidRDefault="000B0ACB" w:rsidP="00441F9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Online</w:t>
            </w:r>
          </w:p>
        </w:tc>
      </w:tr>
      <w:tr w:rsidR="00DA54AD" w:rsidTr="00163163">
        <w:tc>
          <w:tcPr>
            <w:tcW w:w="2547" w:type="dxa"/>
          </w:tcPr>
          <w:p w:rsidR="00DA54AD" w:rsidRPr="00DA54AD" w:rsidRDefault="00DA54AD" w:rsidP="00DA54AD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United Indian Multicultural Association of Queensland</w:t>
            </w:r>
          </w:p>
        </w:tc>
        <w:tc>
          <w:tcPr>
            <w:tcW w:w="5103" w:type="dxa"/>
          </w:tcPr>
          <w:p w:rsidR="00DA54AD" w:rsidRPr="00DA54AD" w:rsidRDefault="00DA54AD" w:rsidP="00441F9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‘</w:t>
            </w:r>
            <w:proofErr w:type="spellStart"/>
            <w:r w:rsidRPr="00DA54AD">
              <w:rPr>
                <w:sz w:val="18"/>
                <w:szCs w:val="18"/>
              </w:rPr>
              <w:t>Naari</w:t>
            </w:r>
            <w:proofErr w:type="spellEnd"/>
            <w:r w:rsidRPr="00DA54AD">
              <w:rPr>
                <w:sz w:val="18"/>
                <w:szCs w:val="18"/>
              </w:rPr>
              <w:t xml:space="preserve"> </w:t>
            </w:r>
            <w:proofErr w:type="spellStart"/>
            <w:r w:rsidRPr="00DA54AD">
              <w:rPr>
                <w:sz w:val="18"/>
                <w:szCs w:val="18"/>
              </w:rPr>
              <w:t>samman</w:t>
            </w:r>
            <w:proofErr w:type="spellEnd"/>
            <w:r w:rsidRPr="00DA54AD">
              <w:rPr>
                <w:sz w:val="18"/>
                <w:szCs w:val="18"/>
              </w:rPr>
              <w:t>’ Hindi radio campaign</w:t>
            </w:r>
            <w:r w:rsidR="00441F9C">
              <w:rPr>
                <w:sz w:val="18"/>
                <w:szCs w:val="18"/>
              </w:rPr>
              <w:t xml:space="preserve"> ran throughout April 2019 and raised </w:t>
            </w:r>
            <w:r w:rsidRPr="00DA54AD">
              <w:rPr>
                <w:sz w:val="18"/>
                <w:szCs w:val="18"/>
              </w:rPr>
              <w:t>awareness of sexual violence among South Asian women</w:t>
            </w:r>
          </w:p>
        </w:tc>
        <w:tc>
          <w:tcPr>
            <w:tcW w:w="1629" w:type="dxa"/>
          </w:tcPr>
          <w:p w:rsidR="00DA54AD" w:rsidRPr="00DA54AD" w:rsidRDefault="00DA54AD" w:rsidP="00DA54AD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 and Statewide</w:t>
            </w:r>
          </w:p>
        </w:tc>
      </w:tr>
      <w:tr w:rsidR="00DA54AD" w:rsidTr="00163163">
        <w:tc>
          <w:tcPr>
            <w:tcW w:w="2547" w:type="dxa"/>
          </w:tcPr>
          <w:p w:rsidR="00DA54AD" w:rsidRPr="00DA54AD" w:rsidRDefault="00DA54AD" w:rsidP="00DA54AD">
            <w:pPr>
              <w:spacing w:before="0" w:after="0"/>
              <w:rPr>
                <w:sz w:val="18"/>
                <w:szCs w:val="18"/>
              </w:rPr>
            </w:pPr>
            <w:proofErr w:type="spellStart"/>
            <w:r w:rsidRPr="00DA54AD">
              <w:rPr>
                <w:sz w:val="18"/>
                <w:szCs w:val="18"/>
              </w:rPr>
              <w:t>SugarRush</w:t>
            </w:r>
            <w:proofErr w:type="spellEnd"/>
            <w:r w:rsidRPr="00DA54AD">
              <w:rPr>
                <w:sz w:val="18"/>
                <w:szCs w:val="18"/>
              </w:rPr>
              <w:t xml:space="preserve"> Music</w:t>
            </w:r>
          </w:p>
        </w:tc>
        <w:tc>
          <w:tcPr>
            <w:tcW w:w="5103" w:type="dxa"/>
          </w:tcPr>
          <w:p w:rsidR="00DA54AD" w:rsidRPr="00DA54AD" w:rsidRDefault="0025451D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‘You Can’t Take Me’ project produced </w:t>
            </w:r>
            <w:r w:rsidR="002B12BB">
              <w:rPr>
                <w:sz w:val="18"/>
                <w:szCs w:val="18"/>
              </w:rPr>
              <w:t xml:space="preserve">and shared </w:t>
            </w:r>
            <w:r>
              <w:rPr>
                <w:sz w:val="18"/>
                <w:szCs w:val="18"/>
              </w:rPr>
              <w:t>an album in July 2019, comprising of nine songs</w:t>
            </w:r>
            <w:r w:rsidR="00441F9C">
              <w:rPr>
                <w:sz w:val="18"/>
                <w:szCs w:val="18"/>
              </w:rPr>
              <w:t xml:space="preserve"> written</w:t>
            </w:r>
            <w:r w:rsidR="00534512">
              <w:rPr>
                <w:sz w:val="18"/>
                <w:szCs w:val="18"/>
              </w:rPr>
              <w:t xml:space="preserve"> </w:t>
            </w:r>
            <w:r w:rsidR="00441F9C">
              <w:rPr>
                <w:sz w:val="18"/>
                <w:szCs w:val="18"/>
              </w:rPr>
              <w:t>by su</w:t>
            </w:r>
            <w:r>
              <w:rPr>
                <w:sz w:val="18"/>
                <w:szCs w:val="18"/>
              </w:rPr>
              <w:t>rvivors of sexual violence.</w:t>
            </w:r>
            <w:r w:rsidR="001D6E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</w:tcPr>
          <w:p w:rsidR="00DA54AD" w:rsidRPr="00DA54AD" w:rsidRDefault="00DA54AD" w:rsidP="00DA54AD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 and Statewide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Aboriginal and Torres Strait Islander Community Health Service</w:t>
            </w:r>
          </w:p>
        </w:tc>
        <w:tc>
          <w:tcPr>
            <w:tcW w:w="5103" w:type="dxa"/>
          </w:tcPr>
          <w:p w:rsidR="000B0ACB" w:rsidRPr="00DA54AD" w:rsidRDefault="000B0ACB" w:rsidP="009B625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 xml:space="preserve">‘Indigenous Youth Sexual Coercion Project’ </w:t>
            </w:r>
            <w:r w:rsidR="009B625C">
              <w:rPr>
                <w:sz w:val="18"/>
                <w:szCs w:val="18"/>
              </w:rPr>
              <w:t>developed</w:t>
            </w:r>
            <w:r w:rsidRPr="00DA54AD">
              <w:rPr>
                <w:sz w:val="18"/>
                <w:szCs w:val="18"/>
              </w:rPr>
              <w:t xml:space="preserve"> social media resources for young Aboriginal and Torres Strait Islander people on sexual coercion</w:t>
            </w:r>
            <w:r w:rsidR="009B625C">
              <w:rPr>
                <w:sz w:val="18"/>
                <w:szCs w:val="18"/>
              </w:rPr>
              <w:t xml:space="preserve"> and consent.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Zig Zag Young Women’s Resource Centre</w:t>
            </w:r>
          </w:p>
        </w:tc>
        <w:tc>
          <w:tcPr>
            <w:tcW w:w="5103" w:type="dxa"/>
          </w:tcPr>
          <w:p w:rsidR="000B0ACB" w:rsidRPr="00DA54AD" w:rsidRDefault="008E4DC4" w:rsidP="000B0ACB">
            <w:pPr>
              <w:spacing w:before="0" w:after="0"/>
              <w:rPr>
                <w:sz w:val="18"/>
                <w:szCs w:val="18"/>
              </w:rPr>
            </w:pPr>
            <w:hyperlink r:id="rId9" w:history="1">
              <w:r w:rsidR="0052216D" w:rsidRPr="000A1BCF">
                <w:rPr>
                  <w:rStyle w:val="Hyperlink"/>
                  <w:sz w:val="18"/>
                  <w:szCs w:val="18"/>
                </w:rPr>
                <w:t>‘</w:t>
              </w:r>
              <w:r w:rsidR="000B0ACB" w:rsidRPr="000A1BCF">
                <w:rPr>
                  <w:rStyle w:val="Hyperlink"/>
                  <w:sz w:val="18"/>
                  <w:szCs w:val="18"/>
                </w:rPr>
                <w:t>V.O.I.C.E.S for change</w:t>
              </w:r>
              <w:r w:rsidR="0052216D" w:rsidRPr="000A1BCF">
                <w:rPr>
                  <w:rStyle w:val="Hyperlink"/>
                  <w:sz w:val="18"/>
                  <w:szCs w:val="18"/>
                </w:rPr>
                <w:t>’</w:t>
              </w:r>
            </w:hyperlink>
            <w:r w:rsidR="0052216D">
              <w:rPr>
                <w:sz w:val="18"/>
                <w:szCs w:val="18"/>
              </w:rPr>
              <w:t xml:space="preserve"> was a</w:t>
            </w:r>
            <w:r w:rsidR="000B0ACB" w:rsidRPr="00DA54AD">
              <w:rPr>
                <w:sz w:val="18"/>
                <w:szCs w:val="18"/>
              </w:rPr>
              <w:t xml:space="preserve"> digital storytelling project for young women from diverse backgrounds who are survivors of sexual violence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 Youth Service</w:t>
            </w:r>
          </w:p>
        </w:tc>
        <w:tc>
          <w:tcPr>
            <w:tcW w:w="5103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‘A New Future for Young Women: Speak up for Positive Change against Sexual Violence’ project</w:t>
            </w:r>
            <w:r w:rsidR="0052216D">
              <w:rPr>
                <w:sz w:val="18"/>
                <w:szCs w:val="18"/>
              </w:rPr>
              <w:t xml:space="preserve"> ran three workshops and developed resources to dispel myths surrounding sexual violence.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Brisbane, Ipswich and Logan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Migrant Women’s Emergency Support Service</w:t>
            </w:r>
          </w:p>
        </w:tc>
        <w:tc>
          <w:tcPr>
            <w:tcW w:w="5103" w:type="dxa"/>
          </w:tcPr>
          <w:p w:rsidR="000B0ACB" w:rsidRPr="00DA54AD" w:rsidRDefault="000B0ACB" w:rsidP="002A22F4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‘Interpreting in sexual violence contexts’ project</w:t>
            </w:r>
            <w:r w:rsidR="002A22F4">
              <w:rPr>
                <w:sz w:val="18"/>
                <w:szCs w:val="18"/>
              </w:rPr>
              <w:t xml:space="preserve"> was a professional development activity for interpreters to increase knowledge about sexual violence and their capacity in providing an interpreting service to victims and survivors.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Brisbane, Ipswich and Logan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African Australian Women’s Association</w:t>
            </w:r>
          </w:p>
        </w:tc>
        <w:tc>
          <w:tcPr>
            <w:tcW w:w="5103" w:type="dxa"/>
          </w:tcPr>
          <w:p w:rsidR="000B0ACB" w:rsidRPr="00DA54AD" w:rsidRDefault="002A22F4" w:rsidP="002A22F4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‘</w:t>
            </w:r>
            <w:r w:rsidR="000B0ACB" w:rsidRPr="00DA54AD">
              <w:rPr>
                <w:sz w:val="18"/>
                <w:szCs w:val="18"/>
              </w:rPr>
              <w:t>Sexual violence awareness campaign</w:t>
            </w:r>
            <w:r>
              <w:rPr>
                <w:sz w:val="18"/>
                <w:szCs w:val="18"/>
              </w:rPr>
              <w:t>’</w:t>
            </w:r>
            <w:r w:rsidR="000B0ACB" w:rsidRPr="00DA54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forum</w:t>
            </w:r>
            <w:r w:rsidR="000B0ACB" w:rsidRPr="00DA54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helped to </w:t>
            </w:r>
            <w:r w:rsidR="000B0ACB" w:rsidRPr="00DA54AD">
              <w:rPr>
                <w:sz w:val="18"/>
                <w:szCs w:val="18"/>
              </w:rPr>
              <w:t>raise awareness</w:t>
            </w:r>
            <w:r w:rsidR="001501B8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0B0ACB" w:rsidRPr="00DA54AD">
              <w:rPr>
                <w:sz w:val="18"/>
                <w:szCs w:val="18"/>
              </w:rPr>
              <w:t xml:space="preserve">and overcome cultural aspects of sexual violence in African communities 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Brisbane, Ipswich and Logan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lastRenderedPageBreak/>
              <w:t>Belloo Creative</w:t>
            </w:r>
          </w:p>
        </w:tc>
        <w:tc>
          <w:tcPr>
            <w:tcW w:w="5103" w:type="dxa"/>
          </w:tcPr>
          <w:p w:rsidR="000B0ACB" w:rsidRPr="00DA54AD" w:rsidRDefault="002A22F4" w:rsidP="002A22F4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 w:rsidRPr="002A22F4">
              <w:rPr>
                <w:sz w:val="18"/>
                <w:szCs w:val="18"/>
              </w:rPr>
              <w:t>#</w:t>
            </w:r>
            <w:proofErr w:type="spellStart"/>
            <w:r w:rsidRPr="002A22F4">
              <w:rPr>
                <w:sz w:val="18"/>
                <w:szCs w:val="18"/>
              </w:rPr>
              <w:t>MeToo</w:t>
            </w:r>
            <w:proofErr w:type="spellEnd"/>
            <w:r w:rsidRPr="002A22F4">
              <w:rPr>
                <w:sz w:val="18"/>
                <w:szCs w:val="18"/>
              </w:rPr>
              <w:t>, Act Two: Share, Reflect, Prevent</w:t>
            </w:r>
            <w:r>
              <w:rPr>
                <w:sz w:val="18"/>
                <w:szCs w:val="18"/>
              </w:rPr>
              <w:t xml:space="preserve">’ was </w:t>
            </w:r>
            <w:r w:rsidR="000B0ACB" w:rsidRPr="00DA54AD">
              <w:rPr>
                <w:sz w:val="18"/>
                <w:szCs w:val="18"/>
              </w:rPr>
              <w:t xml:space="preserve">an Arts industry forum on sexual violence in the </w:t>
            </w:r>
            <w:r>
              <w:rPr>
                <w:sz w:val="18"/>
                <w:szCs w:val="18"/>
              </w:rPr>
              <w:t>context of the entertainment and performing arts industries.</w:t>
            </w:r>
            <w:r w:rsidRPr="00DA5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South East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Multicultural Families Association</w:t>
            </w:r>
          </w:p>
        </w:tc>
        <w:tc>
          <w:tcPr>
            <w:tcW w:w="5103" w:type="dxa"/>
          </w:tcPr>
          <w:p w:rsidR="000B0ACB" w:rsidRPr="00DA54AD" w:rsidRDefault="000B0ACB" w:rsidP="005C4434">
            <w:pPr>
              <w:spacing w:before="0" w:after="0"/>
              <w:ind w:left="34" w:hanging="34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 xml:space="preserve">‘CALD Sexual Violence Arts Project’ </w:t>
            </w:r>
            <w:r w:rsidR="005C4434">
              <w:rPr>
                <w:sz w:val="18"/>
                <w:szCs w:val="18"/>
              </w:rPr>
              <w:t xml:space="preserve">comprised of three workshops for women representing 16 different culturally and linguistically diverse communities to hear from guest speakers about preventing and responding to sexual violence. 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Gold Coast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Centre Against Sexual Violence Inc.</w:t>
            </w:r>
          </w:p>
        </w:tc>
        <w:tc>
          <w:tcPr>
            <w:tcW w:w="5103" w:type="dxa"/>
          </w:tcPr>
          <w:p w:rsidR="000B0ACB" w:rsidRPr="00DA54AD" w:rsidRDefault="000B0ACB">
            <w:pPr>
              <w:spacing w:before="0" w:after="0"/>
              <w:ind w:left="34" w:hanging="34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 xml:space="preserve">‘Survivors of Sexual Violence are not just Statistics’ project </w:t>
            </w:r>
            <w:r w:rsidR="00B84872">
              <w:rPr>
                <w:sz w:val="18"/>
                <w:szCs w:val="18"/>
              </w:rPr>
              <w:t>produced a video</w:t>
            </w:r>
            <w:r w:rsidRPr="00DA54AD">
              <w:rPr>
                <w:sz w:val="18"/>
                <w:szCs w:val="18"/>
              </w:rPr>
              <w:t xml:space="preserve"> with survivors</w:t>
            </w:r>
            <w:r w:rsidR="00B84872">
              <w:rPr>
                <w:sz w:val="18"/>
                <w:szCs w:val="18"/>
              </w:rPr>
              <w:t xml:space="preserve"> </w:t>
            </w:r>
            <w:r w:rsidR="005005C6">
              <w:rPr>
                <w:sz w:val="18"/>
                <w:szCs w:val="18"/>
              </w:rPr>
              <w:t>to</w:t>
            </w:r>
            <w:r w:rsidR="002B12BB">
              <w:rPr>
                <w:sz w:val="18"/>
                <w:szCs w:val="18"/>
              </w:rPr>
              <w:t xml:space="preserve"> </w:t>
            </w:r>
            <w:r w:rsidR="00B84872">
              <w:rPr>
                <w:sz w:val="18"/>
                <w:szCs w:val="18"/>
              </w:rPr>
              <w:t xml:space="preserve">educate the community on sexual violence by </w:t>
            </w:r>
            <w:r w:rsidRPr="00DA54AD">
              <w:rPr>
                <w:sz w:val="18"/>
                <w:szCs w:val="18"/>
              </w:rPr>
              <w:t xml:space="preserve">sharing facts and </w:t>
            </w:r>
            <w:r w:rsidR="00B84872">
              <w:rPr>
                <w:sz w:val="18"/>
                <w:szCs w:val="18"/>
              </w:rPr>
              <w:t>bust myths related to</w:t>
            </w:r>
            <w:r w:rsidRPr="00DA54AD">
              <w:rPr>
                <w:sz w:val="18"/>
                <w:szCs w:val="18"/>
              </w:rPr>
              <w:t xml:space="preserve"> sexual violence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Logan and Redlands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Domestic Violence Action Centre Inc.</w:t>
            </w:r>
          </w:p>
        </w:tc>
        <w:tc>
          <w:tcPr>
            <w:tcW w:w="5103" w:type="dxa"/>
          </w:tcPr>
          <w:p w:rsidR="000B0ACB" w:rsidRPr="00DA54AD" w:rsidRDefault="000B0ACB" w:rsidP="00B84872">
            <w:pPr>
              <w:spacing w:before="0" w:after="0"/>
              <w:ind w:left="34" w:hanging="34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 xml:space="preserve">‘It’s Time we Talked – Porn, Sexual Violence and Young People’ </w:t>
            </w:r>
            <w:r w:rsidR="00B84872">
              <w:rPr>
                <w:sz w:val="18"/>
                <w:szCs w:val="18"/>
              </w:rPr>
              <w:t xml:space="preserve">delivered a professional development session for stakeholders working with young people and community education evening targeting parents and caregivers to support discussions around pornography, sexual violence and consent. 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Ipswich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Mercy Community Services SEQ Ltd.</w:t>
            </w:r>
          </w:p>
        </w:tc>
        <w:tc>
          <w:tcPr>
            <w:tcW w:w="5103" w:type="dxa"/>
          </w:tcPr>
          <w:p w:rsidR="000B0ACB" w:rsidRPr="00DA54AD" w:rsidRDefault="000B0ACB" w:rsidP="00367C1A">
            <w:pPr>
              <w:spacing w:before="0" w:after="0"/>
              <w:ind w:left="34" w:hanging="34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 xml:space="preserve">‘Your Body Your Rules’ </w:t>
            </w:r>
            <w:r w:rsidR="00367C1A">
              <w:rPr>
                <w:sz w:val="18"/>
                <w:szCs w:val="18"/>
              </w:rPr>
              <w:t xml:space="preserve">ran a story-writing workshop and </w:t>
            </w:r>
            <w:r w:rsidRPr="00DA54AD">
              <w:rPr>
                <w:sz w:val="18"/>
                <w:szCs w:val="18"/>
              </w:rPr>
              <w:t>photographic art exhibition with survivors of sexual violence</w:t>
            </w:r>
            <w:r w:rsidR="00367C1A">
              <w:rPr>
                <w:sz w:val="18"/>
                <w:szCs w:val="18"/>
              </w:rPr>
              <w:t xml:space="preserve"> to provide visual illustration of survivor narratives.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Toowoomba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Women’s Health Centre Rockhampton</w:t>
            </w:r>
          </w:p>
        </w:tc>
        <w:tc>
          <w:tcPr>
            <w:tcW w:w="5103" w:type="dxa"/>
          </w:tcPr>
          <w:p w:rsidR="000B0ACB" w:rsidRPr="00DA54AD" w:rsidRDefault="008E4DC4" w:rsidP="000B0ACB">
            <w:pPr>
              <w:spacing w:before="0" w:after="0"/>
              <w:rPr>
                <w:sz w:val="18"/>
                <w:szCs w:val="18"/>
              </w:rPr>
            </w:pPr>
            <w:hyperlink r:id="rId10" w:history="1">
              <w:r w:rsidR="000B0ACB" w:rsidRPr="005005C6">
                <w:rPr>
                  <w:rStyle w:val="Hyperlink"/>
                  <w:sz w:val="18"/>
                  <w:szCs w:val="18"/>
                </w:rPr>
                <w:t>‘Posters &amp; Coasters in Pubs &amp; Clubs’</w:t>
              </w:r>
            </w:hyperlink>
            <w:r w:rsidR="000B0ACB" w:rsidRPr="00DA54AD">
              <w:rPr>
                <w:sz w:val="18"/>
                <w:szCs w:val="18"/>
              </w:rPr>
              <w:t xml:space="preserve"> project </w:t>
            </w:r>
            <w:r w:rsidR="00FE059A">
              <w:rPr>
                <w:sz w:val="18"/>
                <w:szCs w:val="18"/>
              </w:rPr>
              <w:t xml:space="preserve">is being delivered </w:t>
            </w:r>
            <w:r w:rsidR="000B0ACB" w:rsidRPr="00DA54AD">
              <w:rPr>
                <w:sz w:val="18"/>
                <w:szCs w:val="18"/>
              </w:rPr>
              <w:t>to raise awareness around consent and support for victims and survivors of sexual violence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Rockhampton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Tammy Brennan</w:t>
            </w:r>
          </w:p>
        </w:tc>
        <w:tc>
          <w:tcPr>
            <w:tcW w:w="5103" w:type="dxa"/>
          </w:tcPr>
          <w:p w:rsidR="000B0ACB" w:rsidRPr="00DA54AD" w:rsidRDefault="008E4DC4" w:rsidP="00FE059A">
            <w:pPr>
              <w:spacing w:before="0" w:after="0"/>
              <w:rPr>
                <w:sz w:val="18"/>
                <w:szCs w:val="18"/>
              </w:rPr>
            </w:pPr>
            <w:hyperlink r:id="rId11" w:history="1">
              <w:r w:rsidR="000B0ACB" w:rsidRPr="005005C6">
                <w:rPr>
                  <w:rStyle w:val="Hyperlink"/>
                  <w:sz w:val="18"/>
                  <w:szCs w:val="18"/>
                </w:rPr>
                <w:t>‘Girls are Not Toys’</w:t>
              </w:r>
            </w:hyperlink>
            <w:r w:rsidR="000B0ACB" w:rsidRPr="00DA54AD">
              <w:rPr>
                <w:sz w:val="18"/>
                <w:szCs w:val="18"/>
              </w:rPr>
              <w:t xml:space="preserve"> </w:t>
            </w:r>
            <w:r w:rsidR="00FE059A">
              <w:rPr>
                <w:sz w:val="18"/>
                <w:szCs w:val="18"/>
              </w:rPr>
              <w:t xml:space="preserve">project was a localised </w:t>
            </w:r>
            <w:r w:rsidR="000B0ACB" w:rsidRPr="00DA54AD">
              <w:rPr>
                <w:sz w:val="18"/>
                <w:szCs w:val="18"/>
              </w:rPr>
              <w:t>street art</w:t>
            </w:r>
            <w:r w:rsidR="00FE059A">
              <w:rPr>
                <w:sz w:val="18"/>
                <w:szCs w:val="18"/>
              </w:rPr>
              <w:t xml:space="preserve"> exhibition celebrating women and girls in urban and regional communities, focused on challenging victim stereotyping, and</w:t>
            </w:r>
            <w:r w:rsidR="000B0ACB" w:rsidRPr="00DA54AD">
              <w:rPr>
                <w:sz w:val="18"/>
                <w:szCs w:val="18"/>
              </w:rPr>
              <w:t xml:space="preserve"> </w:t>
            </w:r>
            <w:r w:rsidR="00FE059A">
              <w:rPr>
                <w:sz w:val="18"/>
                <w:szCs w:val="18"/>
              </w:rPr>
              <w:t>promoted</w:t>
            </w:r>
            <w:r w:rsidR="000B0ACB" w:rsidRPr="00DA54AD">
              <w:rPr>
                <w:sz w:val="18"/>
                <w:szCs w:val="18"/>
              </w:rPr>
              <w:t xml:space="preserve"> the message of zero tolerance against violence against women and girls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Gympie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Djarragun College</w:t>
            </w:r>
          </w:p>
        </w:tc>
        <w:tc>
          <w:tcPr>
            <w:tcW w:w="5103" w:type="dxa"/>
          </w:tcPr>
          <w:p w:rsidR="000B0ACB" w:rsidRPr="00DA54AD" w:rsidRDefault="000B0ACB" w:rsidP="000B662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 xml:space="preserve">‘Healthy Connection Program’ </w:t>
            </w:r>
            <w:r w:rsidR="000B662C">
              <w:rPr>
                <w:sz w:val="18"/>
                <w:szCs w:val="18"/>
              </w:rPr>
              <w:t>engaged</w:t>
            </w:r>
            <w:r w:rsidRPr="00DA54AD">
              <w:rPr>
                <w:sz w:val="18"/>
                <w:szCs w:val="18"/>
              </w:rPr>
              <w:t xml:space="preserve"> young Aboriginal and Torres Strait Islander people </w:t>
            </w:r>
            <w:r w:rsidR="000B662C">
              <w:rPr>
                <w:sz w:val="18"/>
                <w:szCs w:val="18"/>
              </w:rPr>
              <w:t xml:space="preserve">in workshops about healthy relationships, and </w:t>
            </w:r>
            <w:r w:rsidRPr="00DA54AD">
              <w:rPr>
                <w:sz w:val="18"/>
                <w:szCs w:val="18"/>
              </w:rPr>
              <w:t>on how to prevent and respond to sexual violence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Far North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Aboriginal and Torres Strait Islander Women’s Legal Service NQ</w:t>
            </w:r>
          </w:p>
        </w:tc>
        <w:tc>
          <w:tcPr>
            <w:tcW w:w="5103" w:type="dxa"/>
          </w:tcPr>
          <w:p w:rsidR="000B0ACB" w:rsidRPr="00DA54AD" w:rsidRDefault="000B0ACB" w:rsidP="000B662C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 xml:space="preserve">‘Empowering Women against Sexual Violence’ </w:t>
            </w:r>
            <w:r w:rsidR="000B662C">
              <w:rPr>
                <w:sz w:val="18"/>
                <w:szCs w:val="18"/>
              </w:rPr>
              <w:t xml:space="preserve">was a </w:t>
            </w:r>
            <w:r w:rsidRPr="00DA54AD">
              <w:rPr>
                <w:sz w:val="18"/>
                <w:szCs w:val="18"/>
              </w:rPr>
              <w:t>morning tea to</w:t>
            </w:r>
            <w:r w:rsidR="000B662C">
              <w:rPr>
                <w:sz w:val="18"/>
                <w:szCs w:val="18"/>
              </w:rPr>
              <w:t xml:space="preserve"> bring together community and legal services </w:t>
            </w:r>
            <w:r w:rsidRPr="00DA54AD">
              <w:rPr>
                <w:sz w:val="18"/>
                <w:szCs w:val="18"/>
              </w:rPr>
              <w:t xml:space="preserve"> </w:t>
            </w:r>
            <w:r w:rsidR="000B662C">
              <w:rPr>
                <w:sz w:val="18"/>
                <w:szCs w:val="18"/>
              </w:rPr>
              <w:t xml:space="preserve">to support conversation about how to prevent sexual violence </w:t>
            </w:r>
            <w:r w:rsidRPr="00DA54AD">
              <w:rPr>
                <w:sz w:val="18"/>
                <w:szCs w:val="18"/>
              </w:rPr>
              <w:t>in the Townsville and Palm Island Aboriginal and Torres Strait Islander communities</w:t>
            </w:r>
            <w:r w:rsidR="000B66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Townsville and Palm Island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lastRenderedPageBreak/>
              <w:t>True Relationships and Reproductive Health</w:t>
            </w:r>
          </w:p>
        </w:tc>
        <w:tc>
          <w:tcPr>
            <w:tcW w:w="5103" w:type="dxa"/>
          </w:tcPr>
          <w:p w:rsidR="000B0ACB" w:rsidRPr="00DA54AD" w:rsidRDefault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‘</w:t>
            </w:r>
            <w:r w:rsidR="005005C6">
              <w:rPr>
                <w:sz w:val="18"/>
                <w:szCs w:val="18"/>
              </w:rPr>
              <w:t>Got Consent?’ project</w:t>
            </w:r>
            <w:r w:rsidRPr="00DA54AD">
              <w:rPr>
                <w:sz w:val="18"/>
                <w:szCs w:val="18"/>
              </w:rPr>
              <w:t xml:space="preserve"> </w:t>
            </w:r>
            <w:r w:rsidR="002D36EE">
              <w:rPr>
                <w:sz w:val="18"/>
                <w:szCs w:val="18"/>
              </w:rPr>
              <w:t xml:space="preserve">developed resources including condoms, coasters, cards, wristbands and posters for bars and hostels </w:t>
            </w:r>
            <w:r w:rsidRPr="00DA54AD">
              <w:rPr>
                <w:sz w:val="18"/>
                <w:szCs w:val="18"/>
              </w:rPr>
              <w:t xml:space="preserve">to raise awareness </w:t>
            </w:r>
            <w:r w:rsidR="002D36EE">
              <w:rPr>
                <w:sz w:val="18"/>
                <w:szCs w:val="18"/>
              </w:rPr>
              <w:t xml:space="preserve">about safe sex and the impact of alcohol, </w:t>
            </w:r>
            <w:r w:rsidRPr="00DA54AD">
              <w:rPr>
                <w:sz w:val="18"/>
                <w:szCs w:val="18"/>
              </w:rPr>
              <w:t xml:space="preserve">and </w:t>
            </w:r>
            <w:r w:rsidR="002D36EE">
              <w:rPr>
                <w:sz w:val="18"/>
                <w:szCs w:val="18"/>
              </w:rPr>
              <w:t xml:space="preserve">to </w:t>
            </w:r>
            <w:r w:rsidRPr="00DA54AD">
              <w:rPr>
                <w:sz w:val="18"/>
                <w:szCs w:val="18"/>
              </w:rPr>
              <w:t>change attitudes towards consent in Cairns and surrounds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Cairns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Mossman State High School P&amp;C Association</w:t>
            </w:r>
          </w:p>
        </w:tc>
        <w:tc>
          <w:tcPr>
            <w:tcW w:w="5103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‘Youth of Mossman Speak Out’ project, focusing on working with young people to develop resources about sexual violence prevention for the community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Mossman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Palm Island Community Company Ltd.</w:t>
            </w:r>
          </w:p>
        </w:tc>
        <w:tc>
          <w:tcPr>
            <w:tcW w:w="5103" w:type="dxa"/>
          </w:tcPr>
          <w:p w:rsidR="000B0ACB" w:rsidRPr="00DA54AD" w:rsidRDefault="002D36EE" w:rsidP="002D36E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0B0ACB" w:rsidRPr="00DA54AD">
              <w:rPr>
                <w:sz w:val="18"/>
                <w:szCs w:val="18"/>
              </w:rPr>
              <w:t xml:space="preserve">sexual violence prevention reference group </w:t>
            </w:r>
            <w:r>
              <w:rPr>
                <w:sz w:val="18"/>
                <w:szCs w:val="18"/>
              </w:rPr>
              <w:t xml:space="preserve">produced </w:t>
            </w:r>
            <w:r w:rsidR="000B0ACB" w:rsidRPr="00DA54AD">
              <w:rPr>
                <w:sz w:val="18"/>
                <w:szCs w:val="18"/>
              </w:rPr>
              <w:t>culturally appropriate multimedia resources for the Palm Island community</w:t>
            </w:r>
            <w:r>
              <w:rPr>
                <w:sz w:val="18"/>
                <w:szCs w:val="18"/>
              </w:rPr>
              <w:t xml:space="preserve"> to support the prevention of sexual violence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Palm Island</w:t>
            </w:r>
          </w:p>
        </w:tc>
      </w:tr>
      <w:tr w:rsidR="000B0ACB" w:rsidTr="00163163">
        <w:tc>
          <w:tcPr>
            <w:tcW w:w="2547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Queensland Police Service (in partnership with Weipa Community Care Association)</w:t>
            </w:r>
          </w:p>
        </w:tc>
        <w:tc>
          <w:tcPr>
            <w:tcW w:w="5103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Deliver</w:t>
            </w:r>
            <w:r w:rsidR="002B12BB">
              <w:rPr>
                <w:sz w:val="18"/>
                <w:szCs w:val="18"/>
              </w:rPr>
              <w:t>ed</w:t>
            </w:r>
            <w:r w:rsidRPr="00DA54AD">
              <w:rPr>
                <w:sz w:val="18"/>
                <w:szCs w:val="18"/>
              </w:rPr>
              <w:t xml:space="preserve"> a workshop </w:t>
            </w:r>
            <w:r w:rsidR="002B12BB">
              <w:rPr>
                <w:sz w:val="18"/>
                <w:szCs w:val="18"/>
              </w:rPr>
              <w:t xml:space="preserve">to service providers </w:t>
            </w:r>
            <w:r w:rsidRPr="00DA54AD">
              <w:rPr>
                <w:sz w:val="18"/>
                <w:szCs w:val="18"/>
              </w:rPr>
              <w:t>on challenging myths and responding to sexual violence in Aboriginal and Torres Strait Islander communities</w:t>
            </w:r>
          </w:p>
        </w:tc>
        <w:tc>
          <w:tcPr>
            <w:tcW w:w="1629" w:type="dxa"/>
          </w:tcPr>
          <w:p w:rsidR="000B0ACB" w:rsidRPr="00DA54AD" w:rsidRDefault="000B0ACB" w:rsidP="000B0ACB">
            <w:pPr>
              <w:spacing w:before="0" w:after="0"/>
              <w:rPr>
                <w:sz w:val="18"/>
                <w:szCs w:val="18"/>
              </w:rPr>
            </w:pPr>
            <w:r w:rsidRPr="00DA54AD">
              <w:rPr>
                <w:sz w:val="18"/>
                <w:szCs w:val="18"/>
              </w:rPr>
              <w:t>Weipa</w:t>
            </w:r>
          </w:p>
        </w:tc>
      </w:tr>
    </w:tbl>
    <w:p w:rsidR="00441F9C" w:rsidRDefault="00441F9C"/>
    <w:sectPr w:rsidR="00441F9C" w:rsidSect="000B0ACB">
      <w:head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C4" w:rsidRDefault="008E4DC4" w:rsidP="000B0ACB">
      <w:pPr>
        <w:spacing w:before="0" w:after="0" w:line="240" w:lineRule="auto"/>
      </w:pPr>
      <w:r>
        <w:separator/>
      </w:r>
    </w:p>
  </w:endnote>
  <w:endnote w:type="continuationSeparator" w:id="0">
    <w:p w:rsidR="008E4DC4" w:rsidRDefault="008E4DC4" w:rsidP="000B0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C4" w:rsidRDefault="008E4DC4" w:rsidP="000B0ACB">
      <w:pPr>
        <w:spacing w:before="0" w:after="0" w:line="240" w:lineRule="auto"/>
      </w:pPr>
      <w:r>
        <w:separator/>
      </w:r>
    </w:p>
  </w:footnote>
  <w:footnote w:type="continuationSeparator" w:id="0">
    <w:p w:rsidR="008E4DC4" w:rsidRDefault="008E4DC4" w:rsidP="000B0A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EE" w:rsidRDefault="002D36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0676890"/>
          <wp:effectExtent l="0" t="0" r="5715" b="0"/>
          <wp:wrapNone/>
          <wp:docPr id="19" name="Picture 19" descr="DCSYW Factsheet Port A4_OCT18_v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YW Factsheet Port A4_OCT18_v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CB"/>
    <w:rsid w:val="0000595C"/>
    <w:rsid w:val="000A1BCF"/>
    <w:rsid w:val="000B0ACB"/>
    <w:rsid w:val="000B662C"/>
    <w:rsid w:val="000C3379"/>
    <w:rsid w:val="001501B8"/>
    <w:rsid w:val="00163163"/>
    <w:rsid w:val="001D5145"/>
    <w:rsid w:val="001D6E02"/>
    <w:rsid w:val="0025451D"/>
    <w:rsid w:val="00260D28"/>
    <w:rsid w:val="002A22F4"/>
    <w:rsid w:val="002B12BB"/>
    <w:rsid w:val="002D36EE"/>
    <w:rsid w:val="003572CD"/>
    <w:rsid w:val="00367C1A"/>
    <w:rsid w:val="00435313"/>
    <w:rsid w:val="00441F9C"/>
    <w:rsid w:val="005005C6"/>
    <w:rsid w:val="0052216D"/>
    <w:rsid w:val="00534512"/>
    <w:rsid w:val="005C4434"/>
    <w:rsid w:val="00877DD0"/>
    <w:rsid w:val="008B2424"/>
    <w:rsid w:val="008D3E51"/>
    <w:rsid w:val="008E4DC4"/>
    <w:rsid w:val="009B625C"/>
    <w:rsid w:val="009E36DA"/>
    <w:rsid w:val="00B147A8"/>
    <w:rsid w:val="00B84872"/>
    <w:rsid w:val="00DA54AD"/>
    <w:rsid w:val="00FE059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28059B-F766-40DE-96A8-2F5AB3AC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CB"/>
    <w:pPr>
      <w:spacing w:before="120" w:after="120" w:line="300" w:lineRule="atLeast"/>
    </w:pPr>
    <w:rPr>
      <w:rFonts w:ascii="Arial" w:eastAsia="Times New Roman" w:hAnsi="Arial" w:cs="Times New Roman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0B0ACB"/>
    <w:pPr>
      <w:keepNext/>
      <w:spacing w:before="240" w:after="60" w:line="240" w:lineRule="auto"/>
      <w:outlineLvl w:val="1"/>
    </w:pPr>
    <w:rPr>
      <w:rFonts w:ascii="Arial Bold" w:hAnsi="Arial Bold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B0A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A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0ACB"/>
    <w:rPr>
      <w:rFonts w:ascii="Arial" w:eastAsia="Times New Roman" w:hAnsi="Arial" w:cs="Times New Roman"/>
      <w:sz w:val="20"/>
      <w:szCs w:val="20"/>
      <w:lang w:eastAsia="en-AU"/>
    </w:rPr>
  </w:style>
  <w:style w:type="table" w:styleId="TableGridLight">
    <w:name w:val="Grid Table Light"/>
    <w:basedOn w:val="TableNormal"/>
    <w:uiPriority w:val="40"/>
    <w:rsid w:val="000B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A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CB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B0A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CB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B0AC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CB"/>
    <w:rPr>
      <w:rFonts w:ascii="Arial" w:eastAsia="Times New Roman" w:hAnsi="Arial" w:cs="Times New Roman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0B0ACB"/>
    <w:rPr>
      <w:rFonts w:ascii="Arial Bold" w:eastAsia="Times New Roman" w:hAnsi="Arial Bold" w:cs="Arial"/>
      <w:b/>
      <w:bCs/>
      <w:iCs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441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ild.org.au/easy-read-resource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nielmorcombefoundation.com.au/togetherwecan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san.org.au/" TargetMode="External"/><Relationship Id="rId11" Type="http://schemas.openxmlformats.org/officeDocument/2006/relationships/hyperlink" Target="http://www.girlsarenottoys.org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omenshealthrockhampto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igzag.org.au/2019/08/23/voices-for-chang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Violence Prevention Grants - funded activities March-April 2019</vt:lpstr>
    </vt:vector>
  </TitlesOfParts>
  <Company>Queensland Government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Violence Prevention Grants - funded activities March-April 2019</dc:title>
  <dc:subject>Sexual Violence Prevention Grants - funded activities March-April 2019</dc:subject>
  <dc:creator>Queensland Government</dc:creator>
  <cp:keywords>Sexual Violence Prevention Grants,funded activities,March-April 2019</cp:keywords>
  <dc:description/>
  <cp:lastModifiedBy>Emily Crawford</cp:lastModifiedBy>
  <cp:revision>21</cp:revision>
  <cp:lastPrinted>2019-10-29T04:57:00Z</cp:lastPrinted>
  <dcterms:created xsi:type="dcterms:W3CDTF">2019-10-28T04:35:00Z</dcterms:created>
  <dcterms:modified xsi:type="dcterms:W3CDTF">2019-10-29T05:04:00Z</dcterms:modified>
</cp:coreProperties>
</file>